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45ED04" w14:textId="77777777" w:rsidR="00D524F6" w:rsidRPr="00D524F6" w:rsidRDefault="00D524F6" w:rsidP="00D524F6">
      <w:pPr>
        <w:rPr>
          <w:vanish/>
        </w:rPr>
      </w:pPr>
    </w:p>
    <w:p w14:paraId="5EA28805" w14:textId="77777777" w:rsidR="007A09C2" w:rsidRPr="007A09C2" w:rsidRDefault="007A09C2" w:rsidP="007A09C2">
      <w:pPr>
        <w:rPr>
          <w:vanish/>
        </w:rPr>
      </w:pPr>
    </w:p>
    <w:p w14:paraId="1C49124B" w14:textId="77777777" w:rsidR="000B18F6" w:rsidRPr="000B18F6" w:rsidRDefault="000B18F6" w:rsidP="000B18F6">
      <w:pPr>
        <w:rPr>
          <w:vanish/>
        </w:rPr>
      </w:pPr>
    </w:p>
    <w:tbl>
      <w:tblPr>
        <w:tblpPr w:leftFromText="141" w:rightFromText="141" w:vertAnchor="page" w:horzAnchor="margin" w:tblpXSpec="right" w:tblpY="257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2"/>
      </w:tblGrid>
      <w:tr w:rsidR="00BB3DF1" w:rsidRPr="00B0510A" w14:paraId="135F162D" w14:textId="77777777" w:rsidTr="00627545">
        <w:tblPrEx>
          <w:tblCellMar>
            <w:top w:w="0" w:type="dxa"/>
            <w:bottom w:w="0" w:type="dxa"/>
          </w:tblCellMar>
        </w:tblPrEx>
        <w:trPr>
          <w:trHeight w:val="1419"/>
        </w:trPr>
        <w:tc>
          <w:tcPr>
            <w:tcW w:w="9572" w:type="dxa"/>
          </w:tcPr>
          <w:p w14:paraId="3A4F7EFE" w14:textId="77777777" w:rsidR="002F0BE4" w:rsidRPr="00483216" w:rsidRDefault="00627545" w:rsidP="00112108">
            <w:pPr>
              <w:widowControl/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34"/>
                <w:szCs w:val="34"/>
                <w:lang w:val="en-US"/>
              </w:rPr>
            </w:pPr>
            <w:r w:rsidRPr="00483216">
              <w:rPr>
                <w:rFonts w:ascii="Tahoma" w:hAnsi="Tahoma" w:cs="Tahoma"/>
                <w:b/>
                <w:color w:val="FF0000"/>
                <w:sz w:val="34"/>
                <w:szCs w:val="34"/>
                <w:lang w:val="en-US"/>
              </w:rPr>
              <w:t>LA CORTE DI APPELLO DI MILANO CONFERMA</w:t>
            </w:r>
          </w:p>
          <w:p w14:paraId="16C7B583" w14:textId="77777777" w:rsidR="002F0BE4" w:rsidRPr="00483216" w:rsidRDefault="00627545" w:rsidP="00112108">
            <w:pPr>
              <w:widowControl/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34"/>
                <w:szCs w:val="34"/>
                <w:lang w:val="en-US"/>
              </w:rPr>
            </w:pPr>
            <w:r w:rsidRPr="00483216">
              <w:rPr>
                <w:rFonts w:ascii="Tahoma" w:hAnsi="Tahoma" w:cs="Tahoma"/>
                <w:b/>
                <w:color w:val="FF0000"/>
                <w:sz w:val="34"/>
                <w:szCs w:val="34"/>
                <w:lang w:val="en-US"/>
              </w:rPr>
              <w:t>QUANTO SOSTENUTO DALLA CUB TRASPORTI:</w:t>
            </w:r>
          </w:p>
          <w:p w14:paraId="068B10E6" w14:textId="77777777" w:rsidR="00627545" w:rsidRPr="00627545" w:rsidRDefault="00627545" w:rsidP="00112108">
            <w:pPr>
              <w:widowControl/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6"/>
                <w:szCs w:val="6"/>
                <w:lang w:val="en-US"/>
              </w:rPr>
            </w:pPr>
          </w:p>
          <w:p w14:paraId="201404C6" w14:textId="77777777" w:rsidR="002F0BE4" w:rsidRPr="00483216" w:rsidRDefault="00627545" w:rsidP="00112108">
            <w:pPr>
              <w:widowControl/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28"/>
                <w:szCs w:val="28"/>
                <w:lang w:val="en-US"/>
              </w:rPr>
            </w:pPr>
            <w:r w:rsidRPr="00483216">
              <w:rPr>
                <w:rFonts w:ascii="Tahoma" w:hAnsi="Tahoma" w:cs="Tahoma"/>
                <w:b/>
                <w:color w:val="FF0000"/>
                <w:sz w:val="28"/>
                <w:szCs w:val="28"/>
                <w:lang w:val="en-US"/>
              </w:rPr>
              <w:t xml:space="preserve">IL MANCATO LAVAGGIO DEI DPI È UN DANNO </w:t>
            </w:r>
          </w:p>
          <w:p w14:paraId="3B07E2C4" w14:textId="1AB72F52" w:rsidR="002F0BE4" w:rsidRPr="00483216" w:rsidRDefault="00627545" w:rsidP="00112108">
            <w:pPr>
              <w:widowControl/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28"/>
                <w:szCs w:val="28"/>
                <w:lang w:val="en-US"/>
              </w:rPr>
            </w:pPr>
            <w:r w:rsidRPr="00483216">
              <w:rPr>
                <w:rFonts w:ascii="Tahoma" w:hAnsi="Tahoma" w:cs="Tahoma"/>
                <w:b/>
                <w:color w:val="FF0000"/>
                <w:sz w:val="28"/>
                <w:szCs w:val="28"/>
                <w:lang w:val="en-US"/>
              </w:rPr>
              <w:t>CHE LE AZIENDE DEVONO RISARCIRE AGLI AEROPORTUALI</w:t>
            </w:r>
          </w:p>
          <w:p w14:paraId="389353F1" w14:textId="77777777" w:rsidR="002F0BE4" w:rsidRPr="00483216" w:rsidRDefault="00627545" w:rsidP="00112108">
            <w:pPr>
              <w:widowControl/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28"/>
                <w:szCs w:val="28"/>
                <w:lang w:val="en-US"/>
              </w:rPr>
            </w:pPr>
            <w:r w:rsidRPr="00483216">
              <w:rPr>
                <w:rFonts w:ascii="Tahoma" w:hAnsi="Tahoma" w:cs="Tahoma"/>
                <w:b/>
                <w:color w:val="FF0000"/>
                <w:sz w:val="28"/>
                <w:szCs w:val="28"/>
                <w:lang w:val="en-US"/>
              </w:rPr>
              <w:t xml:space="preserve">CON UN INDENNIZZO PARI AD 1 ORA DI STRAORDINARIO  </w:t>
            </w:r>
          </w:p>
          <w:p w14:paraId="07081D1F" w14:textId="77777777" w:rsidR="00627545" w:rsidRPr="00483216" w:rsidRDefault="00627545" w:rsidP="00112108">
            <w:pPr>
              <w:widowControl/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28"/>
                <w:szCs w:val="28"/>
                <w:lang w:val="en-US"/>
              </w:rPr>
            </w:pPr>
            <w:r w:rsidRPr="00483216">
              <w:rPr>
                <w:rFonts w:ascii="Tahoma" w:hAnsi="Tahoma" w:cs="Tahoma"/>
                <w:b/>
                <w:color w:val="FF0000"/>
                <w:sz w:val="28"/>
                <w:szCs w:val="28"/>
                <w:lang w:val="en-US"/>
              </w:rPr>
              <w:t>PER OGNI SETTIMANA DI SERVIZIO PRESTATO</w:t>
            </w:r>
          </w:p>
          <w:p w14:paraId="5D51D632" w14:textId="77777777" w:rsidR="00627545" w:rsidRPr="006D43BA" w:rsidRDefault="00627545" w:rsidP="00112108">
            <w:pPr>
              <w:widowControl/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12"/>
                <w:szCs w:val="12"/>
                <w:lang w:val="en-US"/>
              </w:rPr>
            </w:pPr>
          </w:p>
          <w:p w14:paraId="27933540" w14:textId="77777777" w:rsidR="00227CB5" w:rsidRPr="00483216" w:rsidRDefault="00627545" w:rsidP="00112108">
            <w:pPr>
              <w:widowControl/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30"/>
                <w:szCs w:val="30"/>
                <w:lang w:val="en-US"/>
              </w:rPr>
            </w:pPr>
            <w:r w:rsidRPr="00483216">
              <w:rPr>
                <w:rFonts w:ascii="Tahoma" w:hAnsi="Tahoma" w:cs="Tahoma"/>
                <w:b/>
                <w:color w:val="FF0000"/>
                <w:sz w:val="30"/>
                <w:szCs w:val="30"/>
                <w:lang w:val="en-US"/>
              </w:rPr>
              <w:t xml:space="preserve">ALTRO CHE ACCORDI SINDACALI E CONCILIAZIONI </w:t>
            </w:r>
          </w:p>
          <w:p w14:paraId="556EA01B" w14:textId="77777777" w:rsidR="00627545" w:rsidRPr="00483216" w:rsidRDefault="00627545" w:rsidP="00112108">
            <w:pPr>
              <w:widowControl/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30"/>
                <w:szCs w:val="30"/>
                <w:lang w:val="en-US"/>
              </w:rPr>
            </w:pPr>
            <w:r w:rsidRPr="00483216">
              <w:rPr>
                <w:rFonts w:ascii="Tahoma" w:hAnsi="Tahoma" w:cs="Tahoma"/>
                <w:b/>
                <w:color w:val="FF0000"/>
                <w:sz w:val="30"/>
                <w:szCs w:val="30"/>
                <w:lang w:val="en-US"/>
              </w:rPr>
              <w:t>A PERDERE</w:t>
            </w:r>
            <w:r w:rsidR="00227CB5" w:rsidRPr="00483216">
              <w:rPr>
                <w:rFonts w:ascii="Tahoma" w:hAnsi="Tahoma" w:cs="Tahoma"/>
                <w:b/>
                <w:color w:val="FF0000"/>
                <w:sz w:val="30"/>
                <w:szCs w:val="30"/>
                <w:lang w:val="en-US"/>
              </w:rPr>
              <w:t xml:space="preserve"> FIRMATI DA CGILCISLUILUGL E FLAI</w:t>
            </w:r>
          </w:p>
          <w:p w14:paraId="10010D12" w14:textId="77777777" w:rsidR="00112108" w:rsidRPr="00112108" w:rsidRDefault="00112108" w:rsidP="00627545">
            <w:pPr>
              <w:widowControl/>
              <w:suppressAutoHyphens w:val="0"/>
              <w:overflowPunct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color w:val="FF0000"/>
                <w:sz w:val="8"/>
                <w:szCs w:val="8"/>
                <w:lang w:val="en-US"/>
              </w:rPr>
            </w:pPr>
          </w:p>
        </w:tc>
      </w:tr>
    </w:tbl>
    <w:p w14:paraId="41E27D63" w14:textId="77777777" w:rsidR="008835FE" w:rsidRPr="008835FE" w:rsidRDefault="008835FE" w:rsidP="0010531D">
      <w:pPr>
        <w:shd w:val="clear" w:color="auto" w:fill="FFFFFF"/>
        <w:spacing w:beforeLines="1" w:before="2" w:afterLines="1" w:after="2"/>
        <w:jc w:val="both"/>
        <w:rPr>
          <w:rFonts w:ascii="Tahoma" w:hAnsi="Tahoma" w:cs="Tahoma"/>
          <w:b/>
          <w:bCs/>
          <w:sz w:val="4"/>
          <w:szCs w:val="4"/>
        </w:rPr>
      </w:pPr>
    </w:p>
    <w:p w14:paraId="28F10BEB" w14:textId="77777777" w:rsidR="00C35503" w:rsidRDefault="00C35503" w:rsidP="00CF2580">
      <w:pPr>
        <w:shd w:val="clear" w:color="auto" w:fill="FFFFFF"/>
        <w:spacing w:beforeLines="1" w:before="2" w:afterLines="1" w:after="2"/>
        <w:rPr>
          <w:rFonts w:ascii="Tahoma" w:hAnsi="Tahoma" w:cs="Tahoma"/>
          <w:sz w:val="23"/>
          <w:szCs w:val="23"/>
        </w:rPr>
      </w:pPr>
    </w:p>
    <w:tbl>
      <w:tblPr>
        <w:tblpPr w:leftFromText="141" w:rightFromText="141" w:vertAnchor="text" w:horzAnchor="margin" w:tblpY="139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"/>
      </w:tblGrid>
      <w:tr w:rsidR="00112108" w:rsidRPr="00CE268B" w14:paraId="6AD3F76B" w14:textId="77777777" w:rsidTr="00627545">
        <w:trPr>
          <w:trHeight w:val="599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FEC1" w14:textId="77777777" w:rsidR="00112108" w:rsidRPr="00CE268B" w:rsidRDefault="00F36593" w:rsidP="00407DAB">
            <w:pPr>
              <w:widowControl/>
              <w:tabs>
                <w:tab w:val="center" w:pos="4819"/>
                <w:tab w:val="right" w:pos="9638"/>
              </w:tabs>
              <w:autoSpaceDE/>
              <w:snapToGrid w:val="0"/>
              <w:jc w:val="center"/>
              <w:rPr>
                <w:rFonts w:ascii="Eras Bold ITC" w:hAnsi="Eras Bold ITC" w:cs="Tahoma"/>
                <w:color w:val="000000"/>
                <w:sz w:val="28"/>
                <w:szCs w:val="28"/>
              </w:rPr>
            </w:pPr>
            <w:r w:rsidRPr="00CE268B">
              <w:rPr>
                <w:rFonts w:ascii="Tahoma" w:hAnsi="Tahoma" w:cs="Tahoma"/>
                <w:b/>
                <w:noProof/>
                <w:sz w:val="48"/>
                <w:szCs w:val="20"/>
              </w:rPr>
              <w:drawing>
                <wp:inline distT="0" distB="0" distL="0" distR="0" wp14:anchorId="3578B48D" wp14:editId="72B35398">
                  <wp:extent cx="533400" cy="650875"/>
                  <wp:effectExtent l="0" t="0" r="0" b="0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08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108" w:rsidRPr="00CE268B" w14:paraId="6AD3BD68" w14:textId="77777777" w:rsidTr="00627545">
        <w:trPr>
          <w:trHeight w:val="32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C4BF" w14:textId="77777777" w:rsidR="00112108" w:rsidRPr="00627545" w:rsidRDefault="00112108" w:rsidP="00407DAB">
            <w:pPr>
              <w:widowControl/>
              <w:tabs>
                <w:tab w:val="center" w:pos="4819"/>
                <w:tab w:val="right" w:pos="9638"/>
              </w:tabs>
              <w:autoSpaceDE/>
              <w:snapToGrid w:val="0"/>
              <w:jc w:val="center"/>
              <w:rPr>
                <w:rFonts w:ascii="Eras Bold ITC" w:hAnsi="Eras Bold ITC" w:cs="Tahoma"/>
                <w:color w:val="000000"/>
                <w:sz w:val="14"/>
                <w:szCs w:val="14"/>
              </w:rPr>
            </w:pPr>
            <w:r w:rsidRPr="00627545">
              <w:rPr>
                <w:rFonts w:ascii="Eras Bold ITC" w:hAnsi="Eras Bold ITC" w:cs="Tahoma"/>
                <w:color w:val="000000"/>
                <w:sz w:val="14"/>
                <w:szCs w:val="14"/>
              </w:rPr>
              <w:t>CUB TRASPORTI</w:t>
            </w:r>
          </w:p>
        </w:tc>
      </w:tr>
    </w:tbl>
    <w:p w14:paraId="58163FCE" w14:textId="77777777" w:rsidR="00994794" w:rsidRDefault="00994794" w:rsidP="00EE5679">
      <w:pPr>
        <w:shd w:val="clear" w:color="auto" w:fill="FFFFFF"/>
        <w:spacing w:beforeLines="1" w:before="2" w:afterLines="1" w:after="2"/>
        <w:jc w:val="both"/>
        <w:rPr>
          <w:rFonts w:ascii="Tahoma" w:hAnsi="Tahoma" w:cs="Tahoma"/>
          <w:sz w:val="23"/>
          <w:szCs w:val="23"/>
        </w:rPr>
      </w:pPr>
    </w:p>
    <w:p w14:paraId="689AB9CB" w14:textId="77777777" w:rsidR="00994794" w:rsidRDefault="00994794" w:rsidP="00EE5679">
      <w:pPr>
        <w:shd w:val="clear" w:color="auto" w:fill="FFFFFF"/>
        <w:spacing w:beforeLines="1" w:before="2" w:afterLines="1" w:after="2"/>
        <w:jc w:val="both"/>
        <w:rPr>
          <w:rFonts w:ascii="Tahoma" w:hAnsi="Tahoma" w:cs="Tahoma"/>
          <w:sz w:val="23"/>
          <w:szCs w:val="23"/>
        </w:rPr>
      </w:pPr>
    </w:p>
    <w:p w14:paraId="12D69989" w14:textId="77777777" w:rsidR="00994794" w:rsidRDefault="00994794" w:rsidP="00EE5679">
      <w:pPr>
        <w:shd w:val="clear" w:color="auto" w:fill="FFFFFF"/>
        <w:spacing w:beforeLines="1" w:before="2" w:afterLines="1" w:after="2"/>
        <w:jc w:val="both"/>
        <w:rPr>
          <w:rFonts w:ascii="Tahoma" w:hAnsi="Tahoma" w:cs="Tahoma"/>
          <w:sz w:val="23"/>
          <w:szCs w:val="23"/>
        </w:rPr>
      </w:pPr>
    </w:p>
    <w:p w14:paraId="4DCCC8C0" w14:textId="77777777" w:rsidR="00112108" w:rsidRDefault="00112108" w:rsidP="00EE5679">
      <w:pPr>
        <w:shd w:val="clear" w:color="auto" w:fill="FFFFFF"/>
        <w:spacing w:beforeLines="1" w:before="2" w:afterLines="1" w:after="2"/>
        <w:jc w:val="both"/>
        <w:rPr>
          <w:rFonts w:ascii="Tahoma" w:hAnsi="Tahoma" w:cs="Tahoma"/>
          <w:sz w:val="23"/>
          <w:szCs w:val="23"/>
        </w:rPr>
      </w:pPr>
    </w:p>
    <w:p w14:paraId="443E5F7E" w14:textId="77777777" w:rsidR="00112108" w:rsidRDefault="00112108" w:rsidP="00EE5679">
      <w:pPr>
        <w:shd w:val="clear" w:color="auto" w:fill="FFFFFF"/>
        <w:spacing w:beforeLines="1" w:before="2" w:afterLines="1" w:after="2"/>
        <w:jc w:val="both"/>
        <w:rPr>
          <w:rFonts w:ascii="Tahoma" w:hAnsi="Tahoma" w:cs="Tahoma"/>
          <w:sz w:val="23"/>
          <w:szCs w:val="23"/>
        </w:rPr>
      </w:pPr>
    </w:p>
    <w:p w14:paraId="27E23446" w14:textId="77777777" w:rsidR="004D2234" w:rsidRPr="00227CB5" w:rsidRDefault="004D2234" w:rsidP="002F0BE4">
      <w:pPr>
        <w:jc w:val="both"/>
        <w:rPr>
          <w:rFonts w:ascii="Tahoma" w:hAnsi="Tahoma" w:cs="Tahoma"/>
          <w:b/>
          <w:bCs/>
          <w:sz w:val="23"/>
          <w:szCs w:val="23"/>
        </w:rPr>
      </w:pPr>
      <w:r w:rsidRPr="00227CB5">
        <w:rPr>
          <w:rFonts w:ascii="Tahoma" w:hAnsi="Tahoma" w:cs="Tahoma"/>
          <w:b/>
          <w:bCs/>
          <w:sz w:val="23"/>
          <w:szCs w:val="23"/>
        </w:rPr>
        <w:t>Oggi</w:t>
      </w:r>
      <w:r w:rsidR="00227CB5" w:rsidRPr="00227CB5">
        <w:rPr>
          <w:rFonts w:ascii="Tahoma" w:hAnsi="Tahoma" w:cs="Tahoma"/>
          <w:b/>
          <w:bCs/>
          <w:sz w:val="23"/>
          <w:szCs w:val="23"/>
        </w:rPr>
        <w:t>,</w:t>
      </w:r>
      <w:r w:rsidR="002F0BE4" w:rsidRPr="00227CB5">
        <w:rPr>
          <w:rFonts w:ascii="Tahoma" w:hAnsi="Tahoma" w:cs="Tahoma"/>
          <w:b/>
          <w:bCs/>
          <w:sz w:val="23"/>
          <w:szCs w:val="23"/>
        </w:rPr>
        <w:t xml:space="preserve"> la Corte d'Appello di Milano ha confermato la Sentenza </w:t>
      </w:r>
      <w:r w:rsidRPr="00227CB5">
        <w:rPr>
          <w:rFonts w:ascii="Tahoma" w:hAnsi="Tahoma" w:cs="Tahoma"/>
          <w:b/>
          <w:bCs/>
          <w:sz w:val="23"/>
          <w:szCs w:val="23"/>
        </w:rPr>
        <w:t>del Tribunale del Lavoro di Busto Arsizio,</w:t>
      </w:r>
      <w:r w:rsidR="002F0BE4" w:rsidRPr="00227CB5">
        <w:rPr>
          <w:rFonts w:ascii="Tahoma" w:hAnsi="Tahoma" w:cs="Tahoma"/>
          <w:b/>
          <w:bCs/>
          <w:sz w:val="23"/>
          <w:szCs w:val="23"/>
        </w:rPr>
        <w:t xml:space="preserve"> che aveva accolto il ricorso presentato da</w:t>
      </w:r>
      <w:r w:rsidR="00627545" w:rsidRPr="00227CB5">
        <w:rPr>
          <w:rFonts w:ascii="Tahoma" w:hAnsi="Tahoma" w:cs="Tahoma"/>
          <w:b/>
          <w:bCs/>
          <w:sz w:val="23"/>
          <w:szCs w:val="23"/>
        </w:rPr>
        <w:t xml:space="preserve"> decine</w:t>
      </w:r>
      <w:r w:rsidR="002F0BE4" w:rsidRPr="00227CB5">
        <w:rPr>
          <w:rFonts w:ascii="Tahoma" w:hAnsi="Tahoma" w:cs="Tahoma"/>
          <w:b/>
          <w:bCs/>
          <w:sz w:val="23"/>
          <w:szCs w:val="23"/>
        </w:rPr>
        <w:t xml:space="preserve"> di lavoratori di Alha di Malpensa, assistiti </w:t>
      </w:r>
      <w:r w:rsidRPr="00227CB5">
        <w:rPr>
          <w:rFonts w:ascii="Tahoma" w:hAnsi="Tahoma" w:cs="Tahoma"/>
          <w:b/>
          <w:bCs/>
          <w:sz w:val="23"/>
          <w:szCs w:val="23"/>
        </w:rPr>
        <w:t>dagli avvocati</w:t>
      </w:r>
      <w:r w:rsidR="002F0BE4" w:rsidRPr="00227CB5">
        <w:rPr>
          <w:rFonts w:ascii="Tahoma" w:hAnsi="Tahoma" w:cs="Tahoma"/>
          <w:b/>
          <w:bCs/>
          <w:sz w:val="23"/>
          <w:szCs w:val="23"/>
        </w:rPr>
        <w:t xml:space="preserve"> della </w:t>
      </w:r>
      <w:proofErr w:type="spellStart"/>
      <w:r w:rsidR="002F0BE4" w:rsidRPr="00227CB5">
        <w:rPr>
          <w:rFonts w:ascii="Tahoma" w:hAnsi="Tahoma" w:cs="Tahoma"/>
          <w:b/>
          <w:bCs/>
          <w:sz w:val="23"/>
          <w:szCs w:val="23"/>
        </w:rPr>
        <w:t>Cub</w:t>
      </w:r>
      <w:proofErr w:type="spellEnd"/>
      <w:r w:rsidR="002F0BE4" w:rsidRPr="00227CB5">
        <w:rPr>
          <w:rFonts w:ascii="Tahoma" w:hAnsi="Tahoma" w:cs="Tahoma"/>
          <w:b/>
          <w:bCs/>
          <w:sz w:val="23"/>
          <w:szCs w:val="23"/>
        </w:rPr>
        <w:t xml:space="preserve"> Trasporti</w:t>
      </w:r>
      <w:r w:rsidR="00627545" w:rsidRPr="00227CB5">
        <w:rPr>
          <w:rFonts w:ascii="Tahoma" w:hAnsi="Tahoma" w:cs="Tahoma"/>
          <w:b/>
          <w:bCs/>
          <w:sz w:val="23"/>
          <w:szCs w:val="23"/>
        </w:rPr>
        <w:t>.</w:t>
      </w:r>
    </w:p>
    <w:p w14:paraId="2BFC308E" w14:textId="77777777" w:rsidR="004D2234" w:rsidRPr="00A33541" w:rsidRDefault="004D2234" w:rsidP="002F0BE4">
      <w:pPr>
        <w:jc w:val="both"/>
        <w:rPr>
          <w:rFonts w:ascii="Tahoma" w:hAnsi="Tahoma" w:cs="Tahoma"/>
          <w:sz w:val="12"/>
          <w:szCs w:val="12"/>
        </w:rPr>
      </w:pPr>
    </w:p>
    <w:p w14:paraId="04DF8A3C" w14:textId="77777777" w:rsidR="00542920" w:rsidRPr="00227CB5" w:rsidRDefault="004D2234" w:rsidP="00227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3"/>
          <w:szCs w:val="23"/>
        </w:rPr>
      </w:pPr>
      <w:r w:rsidRPr="00227CB5">
        <w:rPr>
          <w:rFonts w:ascii="Tahoma" w:hAnsi="Tahoma" w:cs="Tahoma"/>
          <w:sz w:val="23"/>
          <w:szCs w:val="23"/>
        </w:rPr>
        <w:t xml:space="preserve">La Sentenza di </w:t>
      </w:r>
      <w:r w:rsidR="002D19C9" w:rsidRPr="00227CB5">
        <w:rPr>
          <w:rFonts w:ascii="Tahoma" w:hAnsi="Tahoma" w:cs="Tahoma"/>
          <w:sz w:val="23"/>
          <w:szCs w:val="23"/>
        </w:rPr>
        <w:t xml:space="preserve">II grado, quindi, </w:t>
      </w:r>
      <w:r w:rsidRPr="00227CB5">
        <w:rPr>
          <w:rFonts w:ascii="Tahoma" w:hAnsi="Tahoma" w:cs="Tahoma"/>
          <w:sz w:val="23"/>
          <w:szCs w:val="23"/>
        </w:rPr>
        <w:t>ribadisce che Alha di Malpensa deve versare fino a 6000 euro netti a ciascun ricorrente per l’omesso lavaggio dei Dispositivi di Protezione Individuali: un danno che si è perpetrato per anni e che va risarcito con un calcolo che può risalire fino a 10 anni prima della impugnativa effettuata da</w:t>
      </w:r>
      <w:r w:rsidR="006D43BA" w:rsidRPr="00227CB5">
        <w:rPr>
          <w:rFonts w:ascii="Tahoma" w:hAnsi="Tahoma" w:cs="Tahoma"/>
          <w:sz w:val="23"/>
          <w:szCs w:val="23"/>
        </w:rPr>
        <w:t xml:space="preserve">i </w:t>
      </w:r>
      <w:r w:rsidRPr="00227CB5">
        <w:rPr>
          <w:rFonts w:ascii="Tahoma" w:hAnsi="Tahoma" w:cs="Tahoma"/>
          <w:sz w:val="23"/>
          <w:szCs w:val="23"/>
        </w:rPr>
        <w:t>dipendent</w:t>
      </w:r>
      <w:r w:rsidR="006D43BA" w:rsidRPr="00227CB5">
        <w:rPr>
          <w:rFonts w:ascii="Tahoma" w:hAnsi="Tahoma" w:cs="Tahoma"/>
          <w:sz w:val="23"/>
          <w:szCs w:val="23"/>
        </w:rPr>
        <w:t>i</w:t>
      </w:r>
      <w:r w:rsidRPr="00227CB5">
        <w:rPr>
          <w:rFonts w:ascii="Tahoma" w:hAnsi="Tahoma" w:cs="Tahoma"/>
          <w:sz w:val="23"/>
          <w:szCs w:val="23"/>
        </w:rPr>
        <w:t xml:space="preserve"> e che prevede </w:t>
      </w:r>
      <w:r w:rsidR="00542920" w:rsidRPr="00227CB5">
        <w:rPr>
          <w:rFonts w:ascii="Tahoma" w:hAnsi="Tahoma" w:cs="Tahoma"/>
          <w:sz w:val="23"/>
          <w:szCs w:val="23"/>
        </w:rPr>
        <w:t xml:space="preserve">un </w:t>
      </w:r>
      <w:r w:rsidR="006D43BA" w:rsidRPr="00227CB5">
        <w:rPr>
          <w:rFonts w:ascii="Tahoma" w:hAnsi="Tahoma" w:cs="Tahoma"/>
          <w:sz w:val="23"/>
          <w:szCs w:val="23"/>
        </w:rPr>
        <w:t xml:space="preserve">risarcimento </w:t>
      </w:r>
      <w:r w:rsidR="00542920" w:rsidRPr="00227CB5">
        <w:rPr>
          <w:rFonts w:ascii="Tahoma" w:hAnsi="Tahoma" w:cs="Tahoma"/>
          <w:sz w:val="23"/>
          <w:szCs w:val="23"/>
        </w:rPr>
        <w:t>pari ad 1 ora di</w:t>
      </w:r>
      <w:r w:rsidR="006D43BA" w:rsidRPr="00227CB5">
        <w:rPr>
          <w:rFonts w:ascii="Tahoma" w:hAnsi="Tahoma" w:cs="Tahoma"/>
          <w:sz w:val="23"/>
          <w:szCs w:val="23"/>
        </w:rPr>
        <w:t xml:space="preserve"> retribuzione di</w:t>
      </w:r>
      <w:r w:rsidR="00542920" w:rsidRPr="00227CB5">
        <w:rPr>
          <w:rFonts w:ascii="Tahoma" w:hAnsi="Tahoma" w:cs="Tahoma"/>
          <w:sz w:val="23"/>
          <w:szCs w:val="23"/>
        </w:rPr>
        <w:t xml:space="preserve"> lavoro straordinario </w:t>
      </w:r>
      <w:r w:rsidR="006D43BA" w:rsidRPr="00227CB5">
        <w:rPr>
          <w:rFonts w:ascii="Tahoma" w:hAnsi="Tahoma" w:cs="Tahoma"/>
          <w:sz w:val="23"/>
          <w:szCs w:val="23"/>
        </w:rPr>
        <w:t>per ogni</w:t>
      </w:r>
      <w:r w:rsidR="00542920" w:rsidRPr="00227CB5">
        <w:rPr>
          <w:rFonts w:ascii="Tahoma" w:hAnsi="Tahoma" w:cs="Tahoma"/>
          <w:sz w:val="23"/>
          <w:szCs w:val="23"/>
        </w:rPr>
        <w:t xml:space="preserve"> settimana di servizio</w:t>
      </w:r>
      <w:r w:rsidR="006D43BA" w:rsidRPr="00227CB5">
        <w:rPr>
          <w:rFonts w:ascii="Tahoma" w:hAnsi="Tahoma" w:cs="Tahoma"/>
          <w:sz w:val="23"/>
          <w:szCs w:val="23"/>
        </w:rPr>
        <w:t xml:space="preserve"> effettuato.</w:t>
      </w:r>
    </w:p>
    <w:p w14:paraId="0EC6E0B0" w14:textId="77777777" w:rsidR="00542920" w:rsidRPr="00A33541" w:rsidRDefault="00542920" w:rsidP="002F0BE4">
      <w:pPr>
        <w:jc w:val="both"/>
        <w:rPr>
          <w:rFonts w:ascii="Tahoma" w:hAnsi="Tahoma" w:cs="Tahoma"/>
          <w:sz w:val="12"/>
          <w:szCs w:val="12"/>
        </w:rPr>
      </w:pPr>
    </w:p>
    <w:p w14:paraId="7EA67EF3" w14:textId="77777777" w:rsidR="004D2234" w:rsidRPr="00A33541" w:rsidRDefault="00542920" w:rsidP="002F0BE4">
      <w:pPr>
        <w:jc w:val="both"/>
        <w:rPr>
          <w:rFonts w:ascii="Tahoma" w:hAnsi="Tahoma" w:cs="Tahoma"/>
          <w:sz w:val="23"/>
          <w:szCs w:val="23"/>
        </w:rPr>
      </w:pPr>
      <w:r w:rsidRPr="00A33541">
        <w:rPr>
          <w:rFonts w:ascii="Tahoma" w:hAnsi="Tahoma" w:cs="Tahoma"/>
          <w:sz w:val="23"/>
          <w:szCs w:val="23"/>
        </w:rPr>
        <w:t xml:space="preserve">Da considerare, peraltro, che </w:t>
      </w:r>
      <w:r w:rsidRPr="00227CB5">
        <w:rPr>
          <w:rFonts w:ascii="Tahoma" w:hAnsi="Tahoma" w:cs="Tahoma"/>
          <w:sz w:val="23"/>
          <w:szCs w:val="23"/>
          <w:u w:val="single"/>
        </w:rPr>
        <w:t>l’importo a</w:t>
      </w:r>
      <w:r w:rsidR="00227CB5" w:rsidRPr="00227CB5">
        <w:rPr>
          <w:rFonts w:ascii="Tahoma" w:hAnsi="Tahoma" w:cs="Tahoma"/>
          <w:sz w:val="23"/>
          <w:szCs w:val="23"/>
          <w:u w:val="single"/>
        </w:rPr>
        <w:t>lla</w:t>
      </w:r>
      <w:r w:rsidRPr="00227CB5">
        <w:rPr>
          <w:rFonts w:ascii="Tahoma" w:hAnsi="Tahoma" w:cs="Tahoma"/>
          <w:sz w:val="23"/>
          <w:szCs w:val="23"/>
          <w:u w:val="single"/>
        </w:rPr>
        <w:t xml:space="preserve"> base del calcolo è quello della retribuzione oraria attuale</w:t>
      </w:r>
      <w:r w:rsidRPr="00A33541">
        <w:rPr>
          <w:rFonts w:ascii="Tahoma" w:hAnsi="Tahoma" w:cs="Tahoma"/>
          <w:sz w:val="23"/>
          <w:szCs w:val="23"/>
        </w:rPr>
        <w:t xml:space="preserve">, maggiorata dalla aliquota prevista per il lavoro straordinario e </w:t>
      </w:r>
      <w:r w:rsidR="00227CB5" w:rsidRPr="00227CB5">
        <w:rPr>
          <w:rFonts w:ascii="Tahoma" w:hAnsi="Tahoma" w:cs="Tahoma"/>
          <w:sz w:val="23"/>
          <w:szCs w:val="23"/>
          <w:u w:val="single"/>
        </w:rPr>
        <w:t>NON</w:t>
      </w:r>
      <w:r w:rsidRPr="00227CB5">
        <w:rPr>
          <w:rFonts w:ascii="Tahoma" w:hAnsi="Tahoma" w:cs="Tahoma"/>
          <w:sz w:val="23"/>
          <w:szCs w:val="23"/>
          <w:u w:val="single"/>
        </w:rPr>
        <w:t xml:space="preserve"> </w:t>
      </w:r>
      <w:r w:rsidR="006D43BA" w:rsidRPr="00227CB5">
        <w:rPr>
          <w:rFonts w:ascii="Tahoma" w:hAnsi="Tahoma" w:cs="Tahoma"/>
          <w:sz w:val="23"/>
          <w:szCs w:val="23"/>
          <w:u w:val="single"/>
        </w:rPr>
        <w:t xml:space="preserve">la retribuzione oraria </w:t>
      </w:r>
      <w:r w:rsidRPr="00227CB5">
        <w:rPr>
          <w:rFonts w:ascii="Tahoma" w:hAnsi="Tahoma" w:cs="Tahoma"/>
          <w:sz w:val="23"/>
          <w:szCs w:val="23"/>
          <w:u w:val="single"/>
        </w:rPr>
        <w:t>del 2016</w:t>
      </w:r>
      <w:r w:rsidRPr="00A33541">
        <w:rPr>
          <w:rFonts w:ascii="Tahoma" w:hAnsi="Tahoma" w:cs="Tahoma"/>
          <w:sz w:val="23"/>
          <w:szCs w:val="23"/>
        </w:rPr>
        <w:t xml:space="preserve">, che viene </w:t>
      </w:r>
      <w:r w:rsidR="006D43BA" w:rsidRPr="00A33541">
        <w:rPr>
          <w:rFonts w:ascii="Tahoma" w:hAnsi="Tahoma" w:cs="Tahoma"/>
          <w:sz w:val="23"/>
          <w:szCs w:val="23"/>
        </w:rPr>
        <w:t>utilizzata</w:t>
      </w:r>
      <w:r w:rsidRPr="00A33541">
        <w:rPr>
          <w:rFonts w:ascii="Tahoma" w:hAnsi="Tahoma" w:cs="Tahoma"/>
          <w:sz w:val="23"/>
          <w:szCs w:val="23"/>
        </w:rPr>
        <w:t xml:space="preserve"> </w:t>
      </w:r>
      <w:r w:rsidR="00BC6A2C">
        <w:rPr>
          <w:rFonts w:ascii="Tahoma" w:hAnsi="Tahoma" w:cs="Tahoma"/>
          <w:sz w:val="23"/>
          <w:szCs w:val="23"/>
        </w:rPr>
        <w:t>dalle aziend</w:t>
      </w:r>
      <w:r w:rsidR="00483216">
        <w:rPr>
          <w:rFonts w:ascii="Tahoma" w:hAnsi="Tahoma" w:cs="Tahoma"/>
          <w:sz w:val="23"/>
          <w:szCs w:val="23"/>
        </w:rPr>
        <w:t>e (lo prevede</w:t>
      </w:r>
      <w:r w:rsidR="00BC6A2C">
        <w:rPr>
          <w:rFonts w:ascii="Tahoma" w:hAnsi="Tahoma" w:cs="Tahoma"/>
          <w:sz w:val="23"/>
          <w:szCs w:val="23"/>
        </w:rPr>
        <w:t xml:space="preserve"> </w:t>
      </w:r>
      <w:r w:rsidR="00483216">
        <w:rPr>
          <w:rFonts w:ascii="Tahoma" w:hAnsi="Tahoma" w:cs="Tahoma"/>
          <w:sz w:val="23"/>
          <w:szCs w:val="23"/>
        </w:rPr>
        <w:t xml:space="preserve">il </w:t>
      </w:r>
      <w:r w:rsidR="00BC6A2C">
        <w:rPr>
          <w:rFonts w:ascii="Tahoma" w:hAnsi="Tahoma" w:cs="Tahoma"/>
          <w:sz w:val="23"/>
          <w:szCs w:val="23"/>
        </w:rPr>
        <w:t>CCNL firmato dai “</w:t>
      </w:r>
      <w:r w:rsidR="00BC6A2C" w:rsidRPr="00BC6A2C">
        <w:rPr>
          <w:rFonts w:ascii="Tahoma" w:hAnsi="Tahoma" w:cs="Tahoma"/>
          <w:i/>
          <w:iCs/>
          <w:sz w:val="23"/>
          <w:szCs w:val="23"/>
        </w:rPr>
        <w:t>soliti noti</w:t>
      </w:r>
      <w:r w:rsidR="00BC6A2C">
        <w:rPr>
          <w:rFonts w:ascii="Tahoma" w:hAnsi="Tahoma" w:cs="Tahoma"/>
          <w:sz w:val="23"/>
          <w:szCs w:val="23"/>
        </w:rPr>
        <w:t>”</w:t>
      </w:r>
      <w:r w:rsidR="00483216">
        <w:rPr>
          <w:rFonts w:ascii="Tahoma" w:hAnsi="Tahoma" w:cs="Tahoma"/>
          <w:sz w:val="23"/>
          <w:szCs w:val="23"/>
        </w:rPr>
        <w:t>)</w:t>
      </w:r>
      <w:r w:rsidR="00BC6A2C">
        <w:rPr>
          <w:rFonts w:ascii="Tahoma" w:hAnsi="Tahoma" w:cs="Tahoma"/>
          <w:sz w:val="23"/>
          <w:szCs w:val="23"/>
        </w:rPr>
        <w:t xml:space="preserve">, </w:t>
      </w:r>
      <w:r w:rsidRPr="00A33541">
        <w:rPr>
          <w:rFonts w:ascii="Tahoma" w:hAnsi="Tahoma" w:cs="Tahoma"/>
          <w:sz w:val="23"/>
          <w:szCs w:val="23"/>
        </w:rPr>
        <w:t xml:space="preserve">per </w:t>
      </w:r>
      <w:r w:rsidR="00BC6A2C">
        <w:rPr>
          <w:rFonts w:ascii="Tahoma" w:hAnsi="Tahoma" w:cs="Tahoma"/>
          <w:sz w:val="23"/>
          <w:szCs w:val="23"/>
        </w:rPr>
        <w:t>pagare</w:t>
      </w:r>
      <w:r w:rsidRPr="00A33541">
        <w:rPr>
          <w:rFonts w:ascii="Tahoma" w:hAnsi="Tahoma" w:cs="Tahoma"/>
          <w:sz w:val="23"/>
          <w:szCs w:val="23"/>
        </w:rPr>
        <w:t xml:space="preserve"> il lavoro </w:t>
      </w:r>
      <w:r w:rsidR="00483216">
        <w:rPr>
          <w:rFonts w:ascii="Tahoma" w:hAnsi="Tahoma" w:cs="Tahoma"/>
          <w:sz w:val="23"/>
          <w:szCs w:val="23"/>
        </w:rPr>
        <w:t>straordinario.</w:t>
      </w:r>
    </w:p>
    <w:p w14:paraId="54612743" w14:textId="77777777" w:rsidR="006D43BA" w:rsidRPr="00A33541" w:rsidRDefault="006D43BA" w:rsidP="002F0BE4">
      <w:pPr>
        <w:jc w:val="both"/>
        <w:rPr>
          <w:rFonts w:ascii="Tahoma" w:hAnsi="Tahoma" w:cs="Tahoma"/>
          <w:sz w:val="12"/>
          <w:szCs w:val="12"/>
        </w:rPr>
      </w:pPr>
    </w:p>
    <w:p w14:paraId="2E2C2044" w14:textId="77777777" w:rsidR="002F0BE4" w:rsidRPr="00A33541" w:rsidRDefault="006D43BA" w:rsidP="002F0BE4">
      <w:pPr>
        <w:jc w:val="both"/>
        <w:rPr>
          <w:rFonts w:ascii="Tahoma" w:hAnsi="Tahoma" w:cs="Tahoma"/>
          <w:sz w:val="23"/>
          <w:szCs w:val="23"/>
        </w:rPr>
      </w:pPr>
      <w:r w:rsidRPr="00A33541">
        <w:rPr>
          <w:rFonts w:ascii="Tahoma" w:hAnsi="Tahoma" w:cs="Tahoma"/>
          <w:sz w:val="23"/>
          <w:szCs w:val="23"/>
        </w:rPr>
        <w:t>I risarcimenti economici previsti dal Tribunale del Lavoro</w:t>
      </w:r>
      <w:r w:rsidR="00483216">
        <w:rPr>
          <w:rFonts w:ascii="Tahoma" w:hAnsi="Tahoma" w:cs="Tahoma"/>
          <w:sz w:val="23"/>
          <w:szCs w:val="23"/>
        </w:rPr>
        <w:t>,</w:t>
      </w:r>
      <w:r w:rsidRPr="00A33541">
        <w:rPr>
          <w:rFonts w:ascii="Tahoma" w:hAnsi="Tahoma" w:cs="Tahoma"/>
          <w:sz w:val="23"/>
          <w:szCs w:val="23"/>
        </w:rPr>
        <w:t xml:space="preserve"> eppoi confermati dalla Corte di Appello di Milano, ristorano i lavoratori, in parte, </w:t>
      </w:r>
      <w:r w:rsidRPr="00BC6A2C">
        <w:rPr>
          <w:rFonts w:ascii="Tahoma" w:hAnsi="Tahoma" w:cs="Tahoma"/>
          <w:sz w:val="23"/>
          <w:szCs w:val="23"/>
          <w:u w:val="single"/>
        </w:rPr>
        <w:t>d</w:t>
      </w:r>
      <w:r w:rsidR="002F0BE4" w:rsidRPr="00BC6A2C">
        <w:rPr>
          <w:rFonts w:ascii="Tahoma" w:hAnsi="Tahoma" w:cs="Tahoma"/>
          <w:sz w:val="23"/>
          <w:szCs w:val="23"/>
          <w:u w:val="single"/>
        </w:rPr>
        <w:t xml:space="preserve">alla miseria </w:t>
      </w:r>
      <w:r w:rsidRPr="00BC6A2C">
        <w:rPr>
          <w:rFonts w:ascii="Tahoma" w:hAnsi="Tahoma" w:cs="Tahoma"/>
          <w:sz w:val="23"/>
          <w:szCs w:val="23"/>
          <w:u w:val="single"/>
        </w:rPr>
        <w:t>versat</w:t>
      </w:r>
      <w:r w:rsidR="005C6A08" w:rsidRPr="00BC6A2C">
        <w:rPr>
          <w:rFonts w:ascii="Tahoma" w:hAnsi="Tahoma" w:cs="Tahoma"/>
          <w:sz w:val="23"/>
          <w:szCs w:val="23"/>
          <w:u w:val="single"/>
        </w:rPr>
        <w:t xml:space="preserve">a </w:t>
      </w:r>
      <w:r w:rsidRPr="00BC6A2C">
        <w:rPr>
          <w:rFonts w:ascii="Tahoma" w:hAnsi="Tahoma" w:cs="Tahoma"/>
          <w:sz w:val="23"/>
          <w:szCs w:val="23"/>
          <w:u w:val="single"/>
        </w:rPr>
        <w:t>loro i</w:t>
      </w:r>
      <w:r w:rsidR="002F0BE4" w:rsidRPr="00BC6A2C">
        <w:rPr>
          <w:rFonts w:ascii="Tahoma" w:hAnsi="Tahoma" w:cs="Tahoma"/>
          <w:sz w:val="23"/>
          <w:szCs w:val="23"/>
          <w:u w:val="single"/>
        </w:rPr>
        <w:t xml:space="preserve">n </w:t>
      </w:r>
      <w:r w:rsidRPr="00BC6A2C">
        <w:rPr>
          <w:rFonts w:ascii="Tahoma" w:hAnsi="Tahoma" w:cs="Tahoma"/>
          <w:sz w:val="23"/>
          <w:szCs w:val="23"/>
          <w:u w:val="single"/>
        </w:rPr>
        <w:t xml:space="preserve">occasione del rinnovo del </w:t>
      </w:r>
      <w:r w:rsidR="002F0BE4" w:rsidRPr="00BC6A2C">
        <w:rPr>
          <w:rFonts w:ascii="Tahoma" w:hAnsi="Tahoma" w:cs="Tahoma"/>
          <w:sz w:val="23"/>
          <w:szCs w:val="23"/>
          <w:u w:val="single"/>
        </w:rPr>
        <w:t>CCNL del 2023</w:t>
      </w:r>
      <w:r w:rsidRPr="00A33541">
        <w:rPr>
          <w:rFonts w:ascii="Tahoma" w:hAnsi="Tahoma" w:cs="Tahoma"/>
          <w:sz w:val="23"/>
          <w:szCs w:val="23"/>
        </w:rPr>
        <w:t xml:space="preserve">, quando non è stato garantito il </w:t>
      </w:r>
      <w:r w:rsidR="00BC6A2C" w:rsidRPr="00483216">
        <w:rPr>
          <w:rFonts w:ascii="Tahoma" w:hAnsi="Tahoma" w:cs="Tahoma"/>
          <w:b/>
          <w:bCs/>
          <w:sz w:val="23"/>
          <w:szCs w:val="23"/>
        </w:rPr>
        <w:t xml:space="preserve">mantenimento del </w:t>
      </w:r>
      <w:r w:rsidRPr="00483216">
        <w:rPr>
          <w:rFonts w:ascii="Tahoma" w:hAnsi="Tahoma" w:cs="Tahoma"/>
          <w:b/>
          <w:bCs/>
          <w:sz w:val="23"/>
          <w:szCs w:val="23"/>
        </w:rPr>
        <w:t>potere di acquisto degli stipendi</w:t>
      </w:r>
      <w:r w:rsidR="00BC6A2C" w:rsidRPr="00483216">
        <w:rPr>
          <w:rFonts w:ascii="Tahoma" w:hAnsi="Tahoma" w:cs="Tahoma"/>
          <w:b/>
          <w:bCs/>
          <w:sz w:val="23"/>
          <w:szCs w:val="23"/>
        </w:rPr>
        <w:t>,</w:t>
      </w:r>
      <w:r w:rsidRPr="00483216">
        <w:rPr>
          <w:rFonts w:ascii="Tahoma" w:hAnsi="Tahoma" w:cs="Tahoma"/>
          <w:b/>
          <w:bCs/>
          <w:sz w:val="23"/>
          <w:szCs w:val="23"/>
        </w:rPr>
        <w:t xml:space="preserve"> erosi dall’inflazione</w:t>
      </w:r>
      <w:r w:rsidR="00F94FC0" w:rsidRPr="00483216">
        <w:rPr>
          <w:rFonts w:ascii="Tahoma" w:hAnsi="Tahoma" w:cs="Tahoma"/>
          <w:b/>
          <w:bCs/>
          <w:sz w:val="23"/>
          <w:szCs w:val="23"/>
        </w:rPr>
        <w:t xml:space="preserve"> e da una “vacanza contrattuale” di 7 anni</w:t>
      </w:r>
      <w:r w:rsidR="005C6A08" w:rsidRPr="00A33541">
        <w:rPr>
          <w:rFonts w:ascii="Tahoma" w:hAnsi="Tahoma" w:cs="Tahoma"/>
          <w:sz w:val="23"/>
          <w:szCs w:val="23"/>
        </w:rPr>
        <w:t xml:space="preserve">, </w:t>
      </w:r>
      <w:r w:rsidR="00483216">
        <w:rPr>
          <w:rFonts w:ascii="Tahoma" w:hAnsi="Tahoma" w:cs="Tahoma"/>
          <w:sz w:val="23"/>
          <w:szCs w:val="23"/>
        </w:rPr>
        <w:t>nel silenzio delle OO.SS. firmatarie.</w:t>
      </w:r>
    </w:p>
    <w:p w14:paraId="6DDE8BE5" w14:textId="77777777" w:rsidR="005C6A08" w:rsidRPr="00A33541" w:rsidRDefault="005C6A08" w:rsidP="002F0BE4">
      <w:pPr>
        <w:jc w:val="both"/>
        <w:rPr>
          <w:rFonts w:ascii="Tahoma" w:hAnsi="Tahoma" w:cs="Tahoma"/>
          <w:b/>
          <w:bCs/>
          <w:sz w:val="12"/>
          <w:szCs w:val="12"/>
        </w:rPr>
      </w:pPr>
    </w:p>
    <w:p w14:paraId="0DA9BD11" w14:textId="77777777" w:rsidR="002D19C9" w:rsidRPr="00A33541" w:rsidRDefault="005C6A08" w:rsidP="002F0BE4">
      <w:pPr>
        <w:jc w:val="both"/>
        <w:rPr>
          <w:rFonts w:ascii="Tahoma" w:hAnsi="Tahoma" w:cs="Tahoma"/>
          <w:sz w:val="23"/>
          <w:szCs w:val="23"/>
        </w:rPr>
      </w:pPr>
      <w:r w:rsidRPr="00A33541">
        <w:rPr>
          <w:rFonts w:ascii="Tahoma" w:hAnsi="Tahoma" w:cs="Tahoma"/>
          <w:sz w:val="23"/>
          <w:szCs w:val="23"/>
        </w:rPr>
        <w:t xml:space="preserve">Importante è che </w:t>
      </w:r>
      <w:r w:rsidRPr="00BC6A2C">
        <w:rPr>
          <w:rFonts w:ascii="Tahoma" w:hAnsi="Tahoma" w:cs="Tahoma"/>
          <w:b/>
          <w:bCs/>
          <w:sz w:val="23"/>
          <w:szCs w:val="23"/>
        </w:rPr>
        <w:t xml:space="preserve">la sentenza della Corte di Appello di oggi, costituisce un riconoscimento e sancisce la correttezza delle rivendicazioni formulate dalla </w:t>
      </w:r>
      <w:proofErr w:type="spellStart"/>
      <w:r w:rsidRPr="00BC6A2C">
        <w:rPr>
          <w:rFonts w:ascii="Tahoma" w:hAnsi="Tahoma" w:cs="Tahoma"/>
          <w:b/>
          <w:bCs/>
          <w:sz w:val="23"/>
          <w:szCs w:val="23"/>
        </w:rPr>
        <w:t>Cub</w:t>
      </w:r>
      <w:proofErr w:type="spellEnd"/>
      <w:r w:rsidRPr="00BC6A2C">
        <w:rPr>
          <w:rFonts w:ascii="Tahoma" w:hAnsi="Tahoma" w:cs="Tahoma"/>
          <w:b/>
          <w:bCs/>
          <w:sz w:val="23"/>
          <w:szCs w:val="23"/>
        </w:rPr>
        <w:t xml:space="preserve"> </w:t>
      </w:r>
      <w:r w:rsidR="002D19C9" w:rsidRPr="00BC6A2C">
        <w:rPr>
          <w:rFonts w:ascii="Tahoma" w:hAnsi="Tahoma" w:cs="Tahoma"/>
          <w:b/>
          <w:bCs/>
          <w:sz w:val="23"/>
          <w:szCs w:val="23"/>
        </w:rPr>
        <w:t>Trasporti</w:t>
      </w:r>
      <w:r w:rsidR="006C334A" w:rsidRPr="00A33541">
        <w:rPr>
          <w:rFonts w:ascii="Tahoma" w:hAnsi="Tahoma" w:cs="Tahoma"/>
          <w:sz w:val="23"/>
          <w:szCs w:val="23"/>
        </w:rPr>
        <w:t xml:space="preserve">, nonostante Alha abbia tentato, </w:t>
      </w:r>
      <w:r w:rsidR="006C334A" w:rsidRPr="00483216">
        <w:rPr>
          <w:rFonts w:ascii="Tahoma" w:hAnsi="Tahoma" w:cs="Tahoma"/>
          <w:sz w:val="23"/>
          <w:szCs w:val="23"/>
          <w:u w:val="single"/>
        </w:rPr>
        <w:t xml:space="preserve">consegnando ai Giudici gli accordi al ribasso firmati da </w:t>
      </w:r>
      <w:proofErr w:type="spellStart"/>
      <w:r w:rsidR="006C334A" w:rsidRPr="00483216">
        <w:rPr>
          <w:rFonts w:ascii="Tahoma" w:hAnsi="Tahoma" w:cs="Tahoma"/>
          <w:sz w:val="23"/>
          <w:szCs w:val="23"/>
          <w:u w:val="single"/>
        </w:rPr>
        <w:t>CgilCislUilUgl</w:t>
      </w:r>
      <w:proofErr w:type="spellEnd"/>
      <w:r w:rsidR="006C334A" w:rsidRPr="00483216">
        <w:rPr>
          <w:rFonts w:ascii="Tahoma" w:hAnsi="Tahoma" w:cs="Tahoma"/>
          <w:sz w:val="23"/>
          <w:szCs w:val="23"/>
          <w:u w:val="single"/>
        </w:rPr>
        <w:t xml:space="preserve"> e Flai,</w:t>
      </w:r>
      <w:r w:rsidR="006C334A" w:rsidRPr="00A33541">
        <w:rPr>
          <w:rFonts w:ascii="Tahoma" w:hAnsi="Tahoma" w:cs="Tahoma"/>
          <w:sz w:val="23"/>
          <w:szCs w:val="23"/>
        </w:rPr>
        <w:t xml:space="preserve"> di favorire un pronu</w:t>
      </w:r>
      <w:r w:rsidR="00FD2796">
        <w:rPr>
          <w:rFonts w:ascii="Tahoma" w:hAnsi="Tahoma" w:cs="Tahoma"/>
          <w:sz w:val="23"/>
          <w:szCs w:val="23"/>
        </w:rPr>
        <w:t>n</w:t>
      </w:r>
      <w:r w:rsidR="006C334A" w:rsidRPr="00A33541">
        <w:rPr>
          <w:rFonts w:ascii="Tahoma" w:hAnsi="Tahoma" w:cs="Tahoma"/>
          <w:sz w:val="23"/>
          <w:szCs w:val="23"/>
        </w:rPr>
        <w:t xml:space="preserve">ciamento che </w:t>
      </w:r>
      <w:r w:rsidR="00BC6A2C">
        <w:rPr>
          <w:rFonts w:ascii="Tahoma" w:hAnsi="Tahoma" w:cs="Tahoma"/>
          <w:sz w:val="23"/>
          <w:szCs w:val="23"/>
        </w:rPr>
        <w:t>“</w:t>
      </w:r>
      <w:r w:rsidR="00483216">
        <w:rPr>
          <w:rFonts w:ascii="Tahoma" w:hAnsi="Tahoma" w:cs="Tahoma"/>
          <w:sz w:val="23"/>
          <w:szCs w:val="23"/>
        </w:rPr>
        <w:t>tagliasse</w:t>
      </w:r>
      <w:r w:rsidR="00BC6A2C">
        <w:rPr>
          <w:rFonts w:ascii="Tahoma" w:hAnsi="Tahoma" w:cs="Tahoma"/>
          <w:sz w:val="23"/>
          <w:szCs w:val="23"/>
        </w:rPr>
        <w:t>”</w:t>
      </w:r>
      <w:r w:rsidR="006C334A" w:rsidRPr="00A33541">
        <w:rPr>
          <w:rFonts w:ascii="Tahoma" w:hAnsi="Tahoma" w:cs="Tahoma"/>
          <w:sz w:val="23"/>
          <w:szCs w:val="23"/>
        </w:rPr>
        <w:t xml:space="preserve"> i risarcimenti già sentenziati nella sentenza di I grado.</w:t>
      </w:r>
    </w:p>
    <w:p w14:paraId="43C6E5CE" w14:textId="77777777" w:rsidR="002D19C9" w:rsidRPr="00A33541" w:rsidRDefault="002D19C9" w:rsidP="002F0BE4">
      <w:pPr>
        <w:jc w:val="both"/>
        <w:rPr>
          <w:rFonts w:ascii="Tahoma" w:hAnsi="Tahoma" w:cs="Tahoma"/>
          <w:b/>
          <w:bCs/>
          <w:color w:val="FF0000"/>
          <w:sz w:val="12"/>
          <w:szCs w:val="12"/>
        </w:rPr>
      </w:pPr>
    </w:p>
    <w:p w14:paraId="406AE541" w14:textId="77777777" w:rsidR="002D19C9" w:rsidRPr="00BC6A2C" w:rsidRDefault="006C334A" w:rsidP="002F0BE4">
      <w:pPr>
        <w:jc w:val="both"/>
        <w:rPr>
          <w:rFonts w:ascii="Tahoma" w:hAnsi="Tahoma" w:cs="Tahoma"/>
          <w:b/>
          <w:bCs/>
          <w:sz w:val="23"/>
          <w:szCs w:val="23"/>
        </w:rPr>
      </w:pPr>
      <w:r w:rsidRPr="00BC6A2C">
        <w:rPr>
          <w:rFonts w:ascii="Tahoma" w:hAnsi="Tahoma" w:cs="Tahoma"/>
          <w:b/>
          <w:bCs/>
          <w:sz w:val="23"/>
          <w:szCs w:val="23"/>
        </w:rPr>
        <w:t>La</w:t>
      </w:r>
      <w:r w:rsidR="002D19C9" w:rsidRPr="00BC6A2C">
        <w:rPr>
          <w:rFonts w:ascii="Tahoma" w:hAnsi="Tahoma" w:cs="Tahoma"/>
          <w:b/>
          <w:bCs/>
          <w:sz w:val="23"/>
          <w:szCs w:val="23"/>
        </w:rPr>
        <w:t xml:space="preserve"> Corte di Appello, di fatto, </w:t>
      </w:r>
      <w:r w:rsidRPr="00BC6A2C">
        <w:rPr>
          <w:rFonts w:ascii="Tahoma" w:hAnsi="Tahoma" w:cs="Tahoma"/>
          <w:b/>
          <w:bCs/>
          <w:sz w:val="23"/>
          <w:szCs w:val="23"/>
        </w:rPr>
        <w:t xml:space="preserve">ha </w:t>
      </w:r>
      <w:r w:rsidR="002D19C9" w:rsidRPr="00BC6A2C">
        <w:rPr>
          <w:rFonts w:ascii="Tahoma" w:hAnsi="Tahoma" w:cs="Tahoma"/>
          <w:b/>
          <w:bCs/>
          <w:sz w:val="23"/>
          <w:szCs w:val="23"/>
        </w:rPr>
        <w:t>“</w:t>
      </w:r>
      <w:r w:rsidRPr="00BC6A2C">
        <w:rPr>
          <w:rFonts w:ascii="Tahoma" w:hAnsi="Tahoma" w:cs="Tahoma"/>
          <w:b/>
          <w:bCs/>
          <w:sz w:val="23"/>
          <w:szCs w:val="23"/>
        </w:rPr>
        <w:t>smentito</w:t>
      </w:r>
      <w:r w:rsidR="002D19C9" w:rsidRPr="00BC6A2C">
        <w:rPr>
          <w:rFonts w:ascii="Tahoma" w:hAnsi="Tahoma" w:cs="Tahoma"/>
          <w:b/>
          <w:bCs/>
          <w:sz w:val="23"/>
          <w:szCs w:val="23"/>
        </w:rPr>
        <w:t xml:space="preserve">” l’accordo nazionale sottoscritto da </w:t>
      </w:r>
      <w:proofErr w:type="spellStart"/>
      <w:r w:rsidR="005C6A08" w:rsidRPr="00BC6A2C">
        <w:rPr>
          <w:rFonts w:ascii="Tahoma" w:hAnsi="Tahoma" w:cs="Tahoma"/>
          <w:b/>
          <w:bCs/>
          <w:sz w:val="23"/>
          <w:szCs w:val="23"/>
        </w:rPr>
        <w:t>CgilCislUilUgl</w:t>
      </w:r>
      <w:proofErr w:type="spellEnd"/>
      <w:r w:rsidR="005C6A08" w:rsidRPr="00BC6A2C">
        <w:rPr>
          <w:rFonts w:ascii="Tahoma" w:hAnsi="Tahoma" w:cs="Tahoma"/>
          <w:b/>
          <w:bCs/>
          <w:sz w:val="23"/>
          <w:szCs w:val="23"/>
        </w:rPr>
        <w:t xml:space="preserve"> e Flai </w:t>
      </w:r>
      <w:r w:rsidR="002D19C9" w:rsidRPr="00BC6A2C">
        <w:rPr>
          <w:rFonts w:ascii="Tahoma" w:hAnsi="Tahoma" w:cs="Tahoma"/>
          <w:b/>
          <w:bCs/>
          <w:sz w:val="23"/>
          <w:szCs w:val="23"/>
        </w:rPr>
        <w:t>con Alha</w:t>
      </w:r>
      <w:r w:rsidR="002D19C9" w:rsidRPr="00BC6A2C">
        <w:rPr>
          <w:rFonts w:ascii="Tahoma" w:hAnsi="Tahoma" w:cs="Tahoma"/>
          <w:b/>
          <w:bCs/>
          <w:color w:val="FF0000"/>
          <w:sz w:val="23"/>
          <w:szCs w:val="23"/>
        </w:rPr>
        <w:t xml:space="preserve"> </w:t>
      </w:r>
      <w:r w:rsidR="002D19C9" w:rsidRPr="00BC6A2C">
        <w:rPr>
          <w:rFonts w:ascii="Tahoma" w:hAnsi="Tahoma" w:cs="Tahoma"/>
          <w:b/>
          <w:bCs/>
          <w:sz w:val="23"/>
          <w:szCs w:val="23"/>
        </w:rPr>
        <w:t>(…e non solo</w:t>
      </w:r>
      <w:r w:rsidRPr="00BC6A2C">
        <w:rPr>
          <w:rFonts w:ascii="Tahoma" w:hAnsi="Tahoma" w:cs="Tahoma"/>
          <w:b/>
          <w:bCs/>
          <w:sz w:val="23"/>
          <w:szCs w:val="23"/>
        </w:rPr>
        <w:t>!)</w:t>
      </w:r>
      <w:r w:rsidR="00483216">
        <w:rPr>
          <w:rFonts w:ascii="Tahoma" w:hAnsi="Tahoma" w:cs="Tahoma"/>
          <w:b/>
          <w:bCs/>
          <w:sz w:val="23"/>
          <w:szCs w:val="23"/>
        </w:rPr>
        <w:t xml:space="preserve"> e che prevedeva </w:t>
      </w:r>
      <w:r w:rsidRPr="00BC6A2C">
        <w:rPr>
          <w:rFonts w:ascii="Tahoma" w:hAnsi="Tahoma" w:cs="Tahoma"/>
          <w:b/>
          <w:bCs/>
          <w:sz w:val="23"/>
          <w:szCs w:val="23"/>
        </w:rPr>
        <w:t>risarcimenti per i lavoratori assolutamente irrisori e incongrui</w:t>
      </w:r>
      <w:r w:rsidR="00483216">
        <w:rPr>
          <w:rFonts w:ascii="Tahoma" w:hAnsi="Tahoma" w:cs="Tahoma"/>
          <w:b/>
          <w:bCs/>
          <w:sz w:val="23"/>
          <w:szCs w:val="23"/>
        </w:rPr>
        <w:t xml:space="preserve"> rispetto al danno subito, peraltro </w:t>
      </w:r>
      <w:r w:rsidR="002D19C9" w:rsidRPr="00BC6A2C">
        <w:rPr>
          <w:rFonts w:ascii="Tahoma" w:hAnsi="Tahoma" w:cs="Tahoma"/>
          <w:b/>
          <w:bCs/>
          <w:sz w:val="23"/>
          <w:szCs w:val="23"/>
        </w:rPr>
        <w:t xml:space="preserve">firmato all’indomani del pronunciamento del Tribunale di Busto Arsizio e molto tempo dopo l’avvio della vertenza della </w:t>
      </w:r>
      <w:proofErr w:type="spellStart"/>
      <w:r w:rsidR="002D19C9" w:rsidRPr="00BC6A2C">
        <w:rPr>
          <w:rFonts w:ascii="Tahoma" w:hAnsi="Tahoma" w:cs="Tahoma"/>
          <w:b/>
          <w:bCs/>
          <w:sz w:val="23"/>
          <w:szCs w:val="23"/>
        </w:rPr>
        <w:t>Cub</w:t>
      </w:r>
      <w:proofErr w:type="spellEnd"/>
      <w:r w:rsidR="002D19C9" w:rsidRPr="00BC6A2C">
        <w:rPr>
          <w:rFonts w:ascii="Tahoma" w:hAnsi="Tahoma" w:cs="Tahoma"/>
          <w:b/>
          <w:bCs/>
          <w:sz w:val="23"/>
          <w:szCs w:val="23"/>
        </w:rPr>
        <w:t xml:space="preserve"> Trasporti</w:t>
      </w:r>
      <w:r w:rsidRPr="00BC6A2C">
        <w:rPr>
          <w:rFonts w:ascii="Tahoma" w:hAnsi="Tahoma" w:cs="Tahoma"/>
          <w:b/>
          <w:bCs/>
          <w:sz w:val="23"/>
          <w:szCs w:val="23"/>
        </w:rPr>
        <w:t>.</w:t>
      </w:r>
    </w:p>
    <w:p w14:paraId="5FE9CB26" w14:textId="77777777" w:rsidR="006C334A" w:rsidRPr="00FD2796" w:rsidRDefault="006C334A" w:rsidP="002F0BE4">
      <w:pPr>
        <w:jc w:val="both"/>
        <w:rPr>
          <w:rFonts w:ascii="Tahoma" w:hAnsi="Tahoma" w:cs="Tahoma"/>
          <w:b/>
          <w:bCs/>
          <w:sz w:val="12"/>
          <w:szCs w:val="12"/>
        </w:rPr>
      </w:pPr>
    </w:p>
    <w:p w14:paraId="27235729" w14:textId="77777777" w:rsidR="00A33541" w:rsidRPr="00FD2796" w:rsidRDefault="00FD2796" w:rsidP="00A33541">
      <w:pPr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Infatti, </w:t>
      </w:r>
      <w:r w:rsidR="00A33541" w:rsidRPr="00FD2796">
        <w:rPr>
          <w:rFonts w:ascii="Tahoma" w:hAnsi="Tahoma" w:cs="Tahoma"/>
          <w:sz w:val="23"/>
          <w:szCs w:val="23"/>
        </w:rPr>
        <w:t xml:space="preserve">l’accordo di </w:t>
      </w:r>
      <w:proofErr w:type="spellStart"/>
      <w:r>
        <w:rPr>
          <w:rFonts w:ascii="Tahoma" w:hAnsi="Tahoma" w:cs="Tahoma"/>
          <w:sz w:val="23"/>
          <w:szCs w:val="23"/>
        </w:rPr>
        <w:t>C</w:t>
      </w:r>
      <w:r w:rsidR="00A33541" w:rsidRPr="00FD2796">
        <w:rPr>
          <w:rFonts w:ascii="Tahoma" w:hAnsi="Tahoma" w:cs="Tahoma"/>
          <w:sz w:val="23"/>
          <w:szCs w:val="23"/>
        </w:rPr>
        <w:t>gil</w:t>
      </w:r>
      <w:r>
        <w:rPr>
          <w:rFonts w:ascii="Tahoma" w:hAnsi="Tahoma" w:cs="Tahoma"/>
          <w:sz w:val="23"/>
          <w:szCs w:val="23"/>
        </w:rPr>
        <w:t>C</w:t>
      </w:r>
      <w:r w:rsidR="00A33541" w:rsidRPr="00FD2796">
        <w:rPr>
          <w:rFonts w:ascii="Tahoma" w:hAnsi="Tahoma" w:cs="Tahoma"/>
          <w:sz w:val="23"/>
          <w:szCs w:val="23"/>
        </w:rPr>
        <w:t>isl</w:t>
      </w:r>
      <w:r>
        <w:rPr>
          <w:rFonts w:ascii="Tahoma" w:hAnsi="Tahoma" w:cs="Tahoma"/>
          <w:sz w:val="23"/>
          <w:szCs w:val="23"/>
        </w:rPr>
        <w:t>U</w:t>
      </w:r>
      <w:r w:rsidR="00A33541" w:rsidRPr="00FD2796">
        <w:rPr>
          <w:rFonts w:ascii="Tahoma" w:hAnsi="Tahoma" w:cs="Tahoma"/>
          <w:sz w:val="23"/>
          <w:szCs w:val="23"/>
        </w:rPr>
        <w:t>il</w:t>
      </w:r>
      <w:r>
        <w:rPr>
          <w:rFonts w:ascii="Tahoma" w:hAnsi="Tahoma" w:cs="Tahoma"/>
          <w:sz w:val="23"/>
          <w:szCs w:val="23"/>
        </w:rPr>
        <w:t>U</w:t>
      </w:r>
      <w:r w:rsidR="00A33541" w:rsidRPr="00FD2796">
        <w:rPr>
          <w:rFonts w:ascii="Tahoma" w:hAnsi="Tahoma" w:cs="Tahoma"/>
          <w:sz w:val="23"/>
          <w:szCs w:val="23"/>
        </w:rPr>
        <w:t>gl</w:t>
      </w:r>
      <w:proofErr w:type="spellEnd"/>
      <w:r w:rsidR="00A33541" w:rsidRPr="00FD2796">
        <w:rPr>
          <w:rFonts w:ascii="Tahoma" w:hAnsi="Tahoma" w:cs="Tahoma"/>
          <w:sz w:val="23"/>
          <w:szCs w:val="23"/>
        </w:rPr>
        <w:t xml:space="preserve"> e </w:t>
      </w:r>
      <w:r>
        <w:rPr>
          <w:rFonts w:ascii="Tahoma" w:hAnsi="Tahoma" w:cs="Tahoma"/>
          <w:sz w:val="23"/>
          <w:szCs w:val="23"/>
        </w:rPr>
        <w:t>F</w:t>
      </w:r>
      <w:r w:rsidR="00A33541" w:rsidRPr="00FD2796">
        <w:rPr>
          <w:rFonts w:ascii="Tahoma" w:hAnsi="Tahoma" w:cs="Tahoma"/>
          <w:sz w:val="23"/>
          <w:szCs w:val="23"/>
        </w:rPr>
        <w:t xml:space="preserve">lai </w:t>
      </w:r>
      <w:r w:rsidR="00A33541" w:rsidRPr="00483216">
        <w:rPr>
          <w:rFonts w:ascii="Tahoma" w:hAnsi="Tahoma" w:cs="Tahoma"/>
          <w:sz w:val="23"/>
          <w:szCs w:val="23"/>
          <w:u w:val="single"/>
        </w:rPr>
        <w:t xml:space="preserve">prevede </w:t>
      </w:r>
      <w:r w:rsidRPr="00483216">
        <w:rPr>
          <w:rFonts w:ascii="Tahoma" w:hAnsi="Tahoma" w:cs="Tahoma"/>
          <w:sz w:val="23"/>
          <w:szCs w:val="23"/>
          <w:u w:val="single"/>
        </w:rPr>
        <w:t xml:space="preserve">un risarcimento pari </w:t>
      </w:r>
      <w:r w:rsidR="00A33541" w:rsidRPr="00483216">
        <w:rPr>
          <w:rFonts w:ascii="Tahoma" w:hAnsi="Tahoma" w:cs="Tahoma"/>
          <w:sz w:val="23"/>
          <w:szCs w:val="23"/>
          <w:u w:val="single"/>
        </w:rPr>
        <w:t>0,56 euro al giorno di servizio</w:t>
      </w:r>
      <w:r w:rsidR="00A33541" w:rsidRPr="00FD2796">
        <w:rPr>
          <w:rFonts w:ascii="Tahoma" w:hAnsi="Tahoma" w:cs="Tahoma"/>
          <w:sz w:val="23"/>
          <w:szCs w:val="23"/>
        </w:rPr>
        <w:t>.</w:t>
      </w:r>
      <w:r>
        <w:rPr>
          <w:rFonts w:ascii="Tahoma" w:hAnsi="Tahoma" w:cs="Tahoma"/>
          <w:sz w:val="23"/>
          <w:szCs w:val="23"/>
        </w:rPr>
        <w:t xml:space="preserve"> Dunque</w:t>
      </w:r>
      <w:r w:rsidR="00A33541" w:rsidRPr="00FD2796">
        <w:rPr>
          <w:rFonts w:ascii="Tahoma" w:hAnsi="Tahoma" w:cs="Tahoma"/>
          <w:sz w:val="23"/>
          <w:szCs w:val="23"/>
        </w:rPr>
        <w:t xml:space="preserve">, per 5 giorni di </w:t>
      </w:r>
      <w:r>
        <w:rPr>
          <w:rFonts w:ascii="Tahoma" w:hAnsi="Tahoma" w:cs="Tahoma"/>
          <w:sz w:val="23"/>
          <w:szCs w:val="23"/>
        </w:rPr>
        <w:t>servizio</w:t>
      </w:r>
      <w:r w:rsidR="00483216">
        <w:rPr>
          <w:rFonts w:ascii="Tahoma" w:hAnsi="Tahoma" w:cs="Tahoma"/>
          <w:sz w:val="23"/>
          <w:szCs w:val="23"/>
        </w:rPr>
        <w:t xml:space="preserve">, cioè in una </w:t>
      </w:r>
      <w:r w:rsidR="00A33541" w:rsidRPr="00FD2796">
        <w:rPr>
          <w:rFonts w:ascii="Tahoma" w:hAnsi="Tahoma" w:cs="Tahoma"/>
          <w:sz w:val="23"/>
          <w:szCs w:val="23"/>
        </w:rPr>
        <w:t xml:space="preserve">settimana, </w:t>
      </w:r>
      <w:r w:rsidR="00A33541" w:rsidRPr="00483216">
        <w:rPr>
          <w:rFonts w:ascii="Tahoma" w:hAnsi="Tahoma" w:cs="Tahoma"/>
          <w:b/>
          <w:bCs/>
          <w:sz w:val="23"/>
          <w:szCs w:val="23"/>
        </w:rPr>
        <w:t xml:space="preserve">l'accordo prevede un risarcimento di 2.8 €, contro quanto richiesto della </w:t>
      </w:r>
      <w:proofErr w:type="spellStart"/>
      <w:r w:rsidR="00A33541" w:rsidRPr="00483216">
        <w:rPr>
          <w:rFonts w:ascii="Tahoma" w:hAnsi="Tahoma" w:cs="Tahoma"/>
          <w:b/>
          <w:bCs/>
          <w:sz w:val="23"/>
          <w:szCs w:val="23"/>
        </w:rPr>
        <w:t>Cub</w:t>
      </w:r>
      <w:proofErr w:type="spellEnd"/>
      <w:r w:rsidR="00A33541" w:rsidRPr="00483216">
        <w:rPr>
          <w:rFonts w:ascii="Tahoma" w:hAnsi="Tahoma" w:cs="Tahoma"/>
          <w:b/>
          <w:bCs/>
          <w:sz w:val="23"/>
          <w:szCs w:val="23"/>
        </w:rPr>
        <w:t xml:space="preserve"> Trasporti</w:t>
      </w:r>
      <w:r w:rsidRPr="00483216">
        <w:rPr>
          <w:rFonts w:ascii="Tahoma" w:hAnsi="Tahoma" w:cs="Tahoma"/>
          <w:b/>
          <w:bCs/>
          <w:sz w:val="23"/>
          <w:szCs w:val="23"/>
        </w:rPr>
        <w:t xml:space="preserve"> e confermato </w:t>
      </w:r>
      <w:r w:rsidR="00A33541" w:rsidRPr="00483216">
        <w:rPr>
          <w:rFonts w:ascii="Tahoma" w:hAnsi="Tahoma" w:cs="Tahoma"/>
          <w:b/>
          <w:bCs/>
          <w:sz w:val="23"/>
          <w:szCs w:val="23"/>
        </w:rPr>
        <w:t>dall</w:t>
      </w:r>
      <w:r w:rsidRPr="00483216">
        <w:rPr>
          <w:rFonts w:ascii="Tahoma" w:hAnsi="Tahoma" w:cs="Tahoma"/>
          <w:b/>
          <w:bCs/>
          <w:sz w:val="23"/>
          <w:szCs w:val="23"/>
        </w:rPr>
        <w:t>e</w:t>
      </w:r>
      <w:r w:rsidR="00A33541" w:rsidRPr="00483216">
        <w:rPr>
          <w:rFonts w:ascii="Tahoma" w:hAnsi="Tahoma" w:cs="Tahoma"/>
          <w:b/>
          <w:bCs/>
          <w:sz w:val="23"/>
          <w:szCs w:val="23"/>
        </w:rPr>
        <w:t xml:space="preserve"> sentenz</w:t>
      </w:r>
      <w:r w:rsidRPr="00483216">
        <w:rPr>
          <w:rFonts w:ascii="Tahoma" w:hAnsi="Tahoma" w:cs="Tahoma"/>
          <w:b/>
          <w:bCs/>
          <w:sz w:val="23"/>
          <w:szCs w:val="23"/>
        </w:rPr>
        <w:t xml:space="preserve">e di </w:t>
      </w:r>
      <w:r w:rsidR="00A33541" w:rsidRPr="00483216">
        <w:rPr>
          <w:rFonts w:ascii="Tahoma" w:hAnsi="Tahoma" w:cs="Tahoma"/>
          <w:b/>
          <w:bCs/>
          <w:sz w:val="23"/>
          <w:szCs w:val="23"/>
        </w:rPr>
        <w:t>I grado</w:t>
      </w:r>
      <w:r w:rsidRPr="00483216">
        <w:rPr>
          <w:rFonts w:ascii="Tahoma" w:hAnsi="Tahoma" w:cs="Tahoma"/>
          <w:b/>
          <w:bCs/>
          <w:sz w:val="23"/>
          <w:szCs w:val="23"/>
        </w:rPr>
        <w:t xml:space="preserve"> e II grado, che, a conti fatti, è pari a 12-13 euro a settimana</w:t>
      </w:r>
      <w:r>
        <w:rPr>
          <w:rFonts w:ascii="Tahoma" w:hAnsi="Tahoma" w:cs="Tahoma"/>
          <w:sz w:val="23"/>
          <w:szCs w:val="23"/>
        </w:rPr>
        <w:t xml:space="preserve">, ovvero oltre 4 volte in più </w:t>
      </w:r>
      <w:r w:rsidR="00483216">
        <w:rPr>
          <w:rFonts w:ascii="Tahoma" w:hAnsi="Tahoma" w:cs="Tahoma"/>
          <w:sz w:val="23"/>
          <w:szCs w:val="23"/>
        </w:rPr>
        <w:t>dell’intesa suddetta</w:t>
      </w:r>
      <w:r>
        <w:rPr>
          <w:rFonts w:ascii="Tahoma" w:hAnsi="Tahoma" w:cs="Tahoma"/>
          <w:sz w:val="23"/>
          <w:szCs w:val="23"/>
        </w:rPr>
        <w:t>.</w:t>
      </w:r>
    </w:p>
    <w:p w14:paraId="11D37805" w14:textId="77777777" w:rsidR="00A33541" w:rsidRPr="00FD2796" w:rsidRDefault="00A33541" w:rsidP="00A33541">
      <w:pPr>
        <w:jc w:val="both"/>
        <w:rPr>
          <w:rFonts w:ascii="Tahoma" w:hAnsi="Tahoma" w:cs="Tahoma"/>
          <w:b/>
          <w:bCs/>
          <w:sz w:val="12"/>
          <w:szCs w:val="12"/>
        </w:rPr>
      </w:pPr>
    </w:p>
    <w:p w14:paraId="78B00D2A" w14:textId="77777777" w:rsidR="00A33541" w:rsidRPr="00FD2796" w:rsidRDefault="00483216" w:rsidP="00A33541">
      <w:pPr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Per un mese di lavoro</w:t>
      </w:r>
      <w:r w:rsidR="00A33541" w:rsidRPr="00FD2796">
        <w:rPr>
          <w:rFonts w:ascii="Tahoma" w:hAnsi="Tahoma" w:cs="Tahoma"/>
          <w:sz w:val="23"/>
          <w:szCs w:val="23"/>
        </w:rPr>
        <w:t xml:space="preserve">, considerando il massimo di 22 giorni di servizio, </w:t>
      </w:r>
      <w:r w:rsidR="00A33541" w:rsidRPr="00483216">
        <w:rPr>
          <w:rFonts w:ascii="Tahoma" w:hAnsi="Tahoma" w:cs="Tahoma"/>
          <w:b/>
          <w:bCs/>
          <w:sz w:val="23"/>
          <w:szCs w:val="23"/>
        </w:rPr>
        <w:t xml:space="preserve">l'accordo prevede un risarcimento di 12,32 euro contro </w:t>
      </w:r>
      <w:r w:rsidR="00FD2796" w:rsidRPr="00483216">
        <w:rPr>
          <w:rFonts w:ascii="Tahoma" w:hAnsi="Tahoma" w:cs="Tahoma"/>
          <w:b/>
          <w:bCs/>
          <w:sz w:val="23"/>
          <w:szCs w:val="23"/>
        </w:rPr>
        <w:t>un</w:t>
      </w:r>
      <w:r w:rsidR="00A33541" w:rsidRPr="00483216">
        <w:rPr>
          <w:rFonts w:ascii="Tahoma" w:hAnsi="Tahoma" w:cs="Tahoma"/>
          <w:b/>
          <w:bCs/>
          <w:sz w:val="23"/>
          <w:szCs w:val="23"/>
        </w:rPr>
        <w:t xml:space="preserve"> risarcimento mensile</w:t>
      </w:r>
      <w:r w:rsidR="00FD2796" w:rsidRPr="00483216">
        <w:rPr>
          <w:rFonts w:ascii="Tahoma" w:hAnsi="Tahoma" w:cs="Tahoma"/>
          <w:b/>
          <w:bCs/>
          <w:sz w:val="23"/>
          <w:szCs w:val="23"/>
        </w:rPr>
        <w:t xml:space="preserve">, rivendicato da </w:t>
      </w:r>
      <w:proofErr w:type="spellStart"/>
      <w:r w:rsidR="00FD2796" w:rsidRPr="00483216">
        <w:rPr>
          <w:rFonts w:ascii="Tahoma" w:hAnsi="Tahoma" w:cs="Tahoma"/>
          <w:b/>
          <w:bCs/>
          <w:sz w:val="23"/>
          <w:szCs w:val="23"/>
        </w:rPr>
        <w:t>Cub</w:t>
      </w:r>
      <w:proofErr w:type="spellEnd"/>
      <w:r w:rsidR="00FD2796" w:rsidRPr="00483216">
        <w:rPr>
          <w:rFonts w:ascii="Tahoma" w:hAnsi="Tahoma" w:cs="Tahoma"/>
          <w:b/>
          <w:bCs/>
          <w:sz w:val="23"/>
          <w:szCs w:val="23"/>
        </w:rPr>
        <w:t xml:space="preserve"> Trasporti e sancito dai Giudici del Tribunale e della Corte di Appello </w:t>
      </w:r>
      <w:r w:rsidR="00E33E1F" w:rsidRPr="00483216">
        <w:rPr>
          <w:rFonts w:ascii="Tahoma" w:hAnsi="Tahoma" w:cs="Tahoma"/>
          <w:b/>
          <w:bCs/>
          <w:sz w:val="23"/>
          <w:szCs w:val="23"/>
        </w:rPr>
        <w:t>os</w:t>
      </w:r>
      <w:r w:rsidR="00A33541" w:rsidRPr="00483216">
        <w:rPr>
          <w:rFonts w:ascii="Tahoma" w:hAnsi="Tahoma" w:cs="Tahoma"/>
          <w:b/>
          <w:bCs/>
          <w:sz w:val="23"/>
          <w:szCs w:val="23"/>
        </w:rPr>
        <w:t>cilla tra 48 euro e 52 euro</w:t>
      </w:r>
      <w:r w:rsidR="00E33E1F">
        <w:rPr>
          <w:rFonts w:ascii="Tahoma" w:hAnsi="Tahoma" w:cs="Tahoma"/>
          <w:sz w:val="23"/>
          <w:szCs w:val="23"/>
        </w:rPr>
        <w:t>, ovvero sempre 4 volte in più dell’accordo al ribasso citato.</w:t>
      </w:r>
    </w:p>
    <w:p w14:paraId="14F5EAB0" w14:textId="77777777" w:rsidR="00A33541" w:rsidRPr="00FD2796" w:rsidRDefault="00A33541" w:rsidP="00A33541">
      <w:pPr>
        <w:jc w:val="both"/>
        <w:rPr>
          <w:rFonts w:ascii="Tahoma" w:hAnsi="Tahoma" w:cs="Tahoma"/>
          <w:b/>
          <w:bCs/>
          <w:sz w:val="12"/>
          <w:szCs w:val="12"/>
        </w:rPr>
      </w:pPr>
    </w:p>
    <w:p w14:paraId="3939211A" w14:textId="77777777" w:rsidR="00E33E1F" w:rsidRPr="00483216" w:rsidRDefault="00E33E1F" w:rsidP="002F0BE4">
      <w:pPr>
        <w:jc w:val="both"/>
        <w:rPr>
          <w:rFonts w:ascii="Tahoma" w:hAnsi="Tahoma" w:cs="Tahoma"/>
          <w:b/>
          <w:bCs/>
          <w:sz w:val="23"/>
          <w:szCs w:val="23"/>
        </w:rPr>
      </w:pPr>
      <w:r w:rsidRPr="00227CB5">
        <w:rPr>
          <w:rFonts w:ascii="Tahoma" w:hAnsi="Tahoma" w:cs="Tahoma"/>
          <w:sz w:val="23"/>
          <w:szCs w:val="23"/>
        </w:rPr>
        <w:t xml:space="preserve">La </w:t>
      </w:r>
      <w:proofErr w:type="spellStart"/>
      <w:r w:rsidRPr="00227CB5">
        <w:rPr>
          <w:rFonts w:ascii="Tahoma" w:hAnsi="Tahoma" w:cs="Tahoma"/>
          <w:sz w:val="23"/>
          <w:szCs w:val="23"/>
        </w:rPr>
        <w:t>Cub</w:t>
      </w:r>
      <w:proofErr w:type="spellEnd"/>
      <w:r w:rsidRPr="00227CB5">
        <w:rPr>
          <w:rFonts w:ascii="Tahoma" w:hAnsi="Tahoma" w:cs="Tahoma"/>
          <w:sz w:val="23"/>
          <w:szCs w:val="23"/>
        </w:rPr>
        <w:t xml:space="preserve"> Trasporti, anche alla luce del pronunciamento dei Giudici di oggi, </w:t>
      </w:r>
      <w:r w:rsidRPr="00483216">
        <w:rPr>
          <w:rFonts w:ascii="Tahoma" w:hAnsi="Tahoma" w:cs="Tahoma"/>
          <w:sz w:val="23"/>
          <w:szCs w:val="23"/>
          <w:u w:val="single"/>
        </w:rPr>
        <w:t xml:space="preserve">invita le altre OO.SS. a non continuare a sottoscrivere accordi che stabiliscano risarcimenti </w:t>
      </w:r>
      <w:r w:rsidR="00227CB5" w:rsidRPr="00483216">
        <w:rPr>
          <w:rFonts w:ascii="Tahoma" w:hAnsi="Tahoma" w:cs="Tahoma"/>
          <w:sz w:val="23"/>
          <w:szCs w:val="23"/>
          <w:u w:val="single"/>
        </w:rPr>
        <w:t xml:space="preserve">per il mancato lavaggio dei DPI </w:t>
      </w:r>
      <w:r w:rsidRPr="00483216">
        <w:rPr>
          <w:rFonts w:ascii="Tahoma" w:hAnsi="Tahoma" w:cs="Tahoma"/>
          <w:sz w:val="23"/>
          <w:szCs w:val="23"/>
          <w:u w:val="single"/>
        </w:rPr>
        <w:t>al di sotto di quanto accertato dai Giudic</w:t>
      </w:r>
      <w:r w:rsidRPr="00227CB5">
        <w:rPr>
          <w:rFonts w:ascii="Tahoma" w:hAnsi="Tahoma" w:cs="Tahoma"/>
          <w:sz w:val="23"/>
          <w:szCs w:val="23"/>
        </w:rPr>
        <w:t xml:space="preserve">i: </w:t>
      </w:r>
      <w:r w:rsidRPr="00483216">
        <w:rPr>
          <w:rFonts w:ascii="Tahoma" w:hAnsi="Tahoma" w:cs="Tahoma"/>
          <w:b/>
          <w:bCs/>
          <w:sz w:val="23"/>
          <w:szCs w:val="23"/>
        </w:rPr>
        <w:t xml:space="preserve">al danno non </w:t>
      </w:r>
      <w:r w:rsidR="00227CB5" w:rsidRPr="00483216">
        <w:rPr>
          <w:rFonts w:ascii="Tahoma" w:hAnsi="Tahoma" w:cs="Tahoma"/>
          <w:b/>
          <w:bCs/>
          <w:sz w:val="23"/>
          <w:szCs w:val="23"/>
        </w:rPr>
        <w:t>deve e non può aggiungersi</w:t>
      </w:r>
      <w:r w:rsidRPr="00483216">
        <w:rPr>
          <w:rFonts w:ascii="Tahoma" w:hAnsi="Tahoma" w:cs="Tahoma"/>
          <w:b/>
          <w:bCs/>
          <w:sz w:val="23"/>
          <w:szCs w:val="23"/>
        </w:rPr>
        <w:t xml:space="preserve"> la beffa per i lavorato</w:t>
      </w:r>
      <w:r w:rsidR="00227CB5" w:rsidRPr="00483216">
        <w:rPr>
          <w:rFonts w:ascii="Tahoma" w:hAnsi="Tahoma" w:cs="Tahoma"/>
          <w:b/>
          <w:bCs/>
          <w:sz w:val="23"/>
          <w:szCs w:val="23"/>
        </w:rPr>
        <w:t>ri</w:t>
      </w:r>
    </w:p>
    <w:p w14:paraId="5FB7C101" w14:textId="77777777" w:rsidR="00E33E1F" w:rsidRPr="00227CB5" w:rsidRDefault="00E33E1F" w:rsidP="002F0BE4">
      <w:pPr>
        <w:jc w:val="both"/>
        <w:rPr>
          <w:rFonts w:ascii="Tahoma" w:hAnsi="Tahoma" w:cs="Tahoma"/>
          <w:b/>
          <w:bCs/>
          <w:color w:val="FF0000"/>
          <w:sz w:val="12"/>
          <w:szCs w:val="12"/>
        </w:rPr>
      </w:pPr>
    </w:p>
    <w:p w14:paraId="2774260C" w14:textId="77777777" w:rsidR="00227CB5" w:rsidRPr="00FC089C" w:rsidRDefault="00227CB5" w:rsidP="00483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3"/>
          <w:szCs w:val="23"/>
          <w:u w:val="single"/>
        </w:rPr>
      </w:pPr>
      <w:r w:rsidRPr="00FC089C">
        <w:rPr>
          <w:rFonts w:ascii="Tahoma" w:hAnsi="Tahoma" w:cs="Tahoma"/>
          <w:sz w:val="23"/>
          <w:szCs w:val="23"/>
          <w:u w:val="single"/>
        </w:rPr>
        <w:t xml:space="preserve">La </w:t>
      </w:r>
      <w:proofErr w:type="spellStart"/>
      <w:r w:rsidRPr="00FC089C">
        <w:rPr>
          <w:rFonts w:ascii="Tahoma" w:hAnsi="Tahoma" w:cs="Tahoma"/>
          <w:sz w:val="23"/>
          <w:szCs w:val="23"/>
          <w:u w:val="single"/>
        </w:rPr>
        <w:t>Cub</w:t>
      </w:r>
      <w:proofErr w:type="spellEnd"/>
      <w:r w:rsidRPr="00FC089C">
        <w:rPr>
          <w:rFonts w:ascii="Tahoma" w:hAnsi="Tahoma" w:cs="Tahoma"/>
          <w:sz w:val="23"/>
          <w:szCs w:val="23"/>
          <w:u w:val="single"/>
        </w:rPr>
        <w:t xml:space="preserve"> Trasporti:</w:t>
      </w:r>
    </w:p>
    <w:p w14:paraId="2DE4564E" w14:textId="77777777" w:rsidR="00227CB5" w:rsidRPr="00FC089C" w:rsidRDefault="00227CB5" w:rsidP="00483216">
      <w:pPr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ahoma" w:hAnsi="Tahoma" w:cs="Tahoma"/>
          <w:b/>
          <w:bCs/>
          <w:sz w:val="23"/>
          <w:szCs w:val="23"/>
        </w:rPr>
      </w:pPr>
      <w:r w:rsidRPr="00FC089C">
        <w:rPr>
          <w:rFonts w:ascii="Tahoma" w:hAnsi="Tahoma" w:cs="Tahoma"/>
          <w:b/>
          <w:bCs/>
          <w:sz w:val="23"/>
          <w:szCs w:val="23"/>
        </w:rPr>
        <w:t xml:space="preserve">continuerà </w:t>
      </w:r>
      <w:r w:rsidR="002F0BE4" w:rsidRPr="00FC089C">
        <w:rPr>
          <w:rFonts w:ascii="Tahoma" w:hAnsi="Tahoma" w:cs="Tahoma"/>
          <w:b/>
          <w:bCs/>
          <w:sz w:val="23"/>
          <w:szCs w:val="23"/>
        </w:rPr>
        <w:t>il deposito delle cause riguardanti tutte le aziende di Malpensa e Linate</w:t>
      </w:r>
      <w:r w:rsidRPr="00FC089C">
        <w:rPr>
          <w:rFonts w:ascii="Tahoma" w:hAnsi="Tahoma" w:cs="Tahoma"/>
          <w:b/>
          <w:bCs/>
          <w:sz w:val="23"/>
          <w:szCs w:val="23"/>
        </w:rPr>
        <w:t>, avviando la raccolta delle impugnative anche in altri aeroporti</w:t>
      </w:r>
      <w:r w:rsidR="00483216" w:rsidRPr="00FC089C">
        <w:rPr>
          <w:rFonts w:ascii="Tahoma" w:hAnsi="Tahoma" w:cs="Tahoma"/>
          <w:b/>
          <w:bCs/>
          <w:sz w:val="23"/>
          <w:szCs w:val="23"/>
        </w:rPr>
        <w:t>;</w:t>
      </w:r>
    </w:p>
    <w:p w14:paraId="2BCFADCD" w14:textId="77777777" w:rsidR="00483216" w:rsidRPr="00483216" w:rsidRDefault="00483216" w:rsidP="00483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6"/>
          <w:szCs w:val="6"/>
        </w:rPr>
      </w:pPr>
    </w:p>
    <w:p w14:paraId="594B658A" w14:textId="77777777" w:rsidR="00227CB5" w:rsidRPr="00483216" w:rsidRDefault="00227CB5" w:rsidP="00483216">
      <w:pPr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ahoma" w:hAnsi="Tahoma" w:cs="Tahoma"/>
          <w:b/>
          <w:bCs/>
          <w:sz w:val="23"/>
          <w:szCs w:val="23"/>
        </w:rPr>
      </w:pPr>
      <w:r w:rsidRPr="00483216">
        <w:rPr>
          <w:rFonts w:ascii="Tahoma" w:hAnsi="Tahoma" w:cs="Tahoma"/>
          <w:b/>
          <w:bCs/>
          <w:sz w:val="23"/>
          <w:szCs w:val="23"/>
        </w:rPr>
        <w:t>solleciterà le a</w:t>
      </w:r>
      <w:r w:rsidR="002F0BE4" w:rsidRPr="00483216">
        <w:rPr>
          <w:rFonts w:ascii="Tahoma" w:hAnsi="Tahoma" w:cs="Tahoma"/>
          <w:b/>
          <w:bCs/>
          <w:sz w:val="23"/>
          <w:szCs w:val="23"/>
        </w:rPr>
        <w:t xml:space="preserve">ziende </w:t>
      </w:r>
      <w:r w:rsidRPr="00483216">
        <w:rPr>
          <w:rFonts w:ascii="Tahoma" w:hAnsi="Tahoma" w:cs="Tahoma"/>
          <w:b/>
          <w:bCs/>
          <w:sz w:val="23"/>
          <w:szCs w:val="23"/>
        </w:rPr>
        <w:t xml:space="preserve">a provvedere </w:t>
      </w:r>
      <w:r w:rsidR="002F0BE4" w:rsidRPr="00483216">
        <w:rPr>
          <w:rFonts w:ascii="Tahoma" w:hAnsi="Tahoma" w:cs="Tahoma"/>
          <w:b/>
          <w:bCs/>
          <w:sz w:val="23"/>
          <w:szCs w:val="23"/>
        </w:rPr>
        <w:t xml:space="preserve">ad un serio servizio di lavaggio dei DPI e non ad un sistema messo in atto al solo scopo di scoraggiarne l'utilizzo da parte dei lavoratori! </w:t>
      </w:r>
    </w:p>
    <w:p w14:paraId="3C8357B1" w14:textId="77777777" w:rsidR="00FC089C" w:rsidRPr="00FC089C" w:rsidRDefault="00FC089C" w:rsidP="00FC089C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15.1.2026</w:t>
      </w:r>
      <w:r w:rsidR="00CF2580" w:rsidRPr="006D43BA">
        <w:rPr>
          <w:rFonts w:ascii="Tahoma" w:hAnsi="Tahoma" w:cs="Tahoma"/>
          <w:b/>
          <w:bCs/>
        </w:rPr>
        <w:tab/>
      </w:r>
      <w:r w:rsidR="00CF2580" w:rsidRPr="006D43BA">
        <w:rPr>
          <w:rFonts w:ascii="Tahoma" w:hAnsi="Tahoma" w:cs="Tahoma"/>
          <w:b/>
          <w:bCs/>
        </w:rPr>
        <w:tab/>
      </w:r>
      <w:r w:rsidR="00CF2580" w:rsidRPr="006D43BA">
        <w:rPr>
          <w:rFonts w:ascii="Tahoma" w:hAnsi="Tahoma" w:cs="Tahoma"/>
          <w:b/>
          <w:bCs/>
        </w:rPr>
        <w:tab/>
      </w:r>
      <w:r w:rsidR="00664EBB" w:rsidRPr="006D43BA">
        <w:rPr>
          <w:rFonts w:ascii="Tahoma" w:hAnsi="Tahoma" w:cs="Tahoma"/>
          <w:b/>
          <w:bCs/>
        </w:rPr>
        <w:tab/>
      </w:r>
      <w:r w:rsidR="00664EBB" w:rsidRPr="006D43BA">
        <w:rPr>
          <w:rFonts w:ascii="Tahoma" w:hAnsi="Tahoma" w:cs="Tahoma"/>
          <w:b/>
          <w:bCs/>
        </w:rPr>
        <w:tab/>
      </w:r>
      <w:r w:rsidRPr="00FC089C">
        <w:rPr>
          <w:rFonts w:ascii="Tahoma" w:hAnsi="Tahoma" w:cs="Tahoma"/>
          <w:b/>
          <w:bCs/>
        </w:rPr>
        <w:t>CUB TRASPORTI</w:t>
      </w:r>
    </w:p>
    <w:p w14:paraId="15C8051C" w14:textId="77777777" w:rsidR="00CF2580" w:rsidRPr="00FC089C" w:rsidRDefault="00FC089C" w:rsidP="00227CB5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FC089C">
        <w:rPr>
          <w:rFonts w:ascii="Tahoma" w:hAnsi="Tahoma" w:cs="Tahoma"/>
          <w:b/>
          <w:bCs/>
          <w:sz w:val="18"/>
          <w:szCs w:val="18"/>
        </w:rPr>
        <w:t xml:space="preserve">Sede legale – via Ponzio </w:t>
      </w:r>
      <w:proofErr w:type="spellStart"/>
      <w:r w:rsidRPr="00FC089C">
        <w:rPr>
          <w:rFonts w:ascii="Tahoma" w:hAnsi="Tahoma" w:cs="Tahoma"/>
          <w:b/>
          <w:bCs/>
          <w:sz w:val="18"/>
          <w:szCs w:val="18"/>
        </w:rPr>
        <w:t>Cominio</w:t>
      </w:r>
      <w:proofErr w:type="spellEnd"/>
      <w:r w:rsidRPr="00FC089C">
        <w:rPr>
          <w:rFonts w:ascii="Tahoma" w:hAnsi="Tahoma" w:cs="Tahoma"/>
          <w:b/>
          <w:bCs/>
          <w:sz w:val="18"/>
          <w:szCs w:val="18"/>
        </w:rPr>
        <w:t xml:space="preserve"> 56, 00175 Roma, tel. 0676960856; 0676983007–</w:t>
      </w:r>
      <w:proofErr w:type="spellStart"/>
      <w:r w:rsidRPr="00FC089C">
        <w:rPr>
          <w:rFonts w:ascii="Tahoma" w:hAnsi="Tahoma" w:cs="Tahoma"/>
          <w:b/>
          <w:bCs/>
          <w:sz w:val="18"/>
          <w:szCs w:val="18"/>
        </w:rPr>
        <w:t>Pec</w:t>
      </w:r>
      <w:proofErr w:type="spellEnd"/>
      <w:r w:rsidRPr="00FC089C">
        <w:rPr>
          <w:rFonts w:ascii="Tahoma" w:hAnsi="Tahoma" w:cs="Tahoma"/>
          <w:b/>
          <w:bCs/>
          <w:sz w:val="18"/>
          <w:szCs w:val="18"/>
        </w:rPr>
        <w:t xml:space="preserve">- </w:t>
      </w:r>
      <w:hyperlink r:id="rId9" w:history="1">
        <w:r w:rsidRPr="00FC089C">
          <w:rPr>
            <w:rStyle w:val="Collegamentoipertestuale"/>
            <w:rFonts w:ascii="Tahoma" w:hAnsi="Tahoma" w:cs="Tahoma"/>
            <w:b/>
            <w:bCs/>
            <w:sz w:val="18"/>
            <w:szCs w:val="18"/>
          </w:rPr>
          <w:t>cub.romaeprovincia@legalmail.it</w:t>
        </w:r>
      </w:hyperlink>
      <w:r w:rsidRPr="00FC089C">
        <w:rPr>
          <w:rFonts w:ascii="Tahoma" w:hAnsi="Tahoma" w:cs="Tahoma"/>
          <w:b/>
          <w:bCs/>
          <w:sz w:val="18"/>
          <w:szCs w:val="18"/>
        </w:rPr>
        <w:t xml:space="preserve"> </w:t>
      </w:r>
    </w:p>
    <w:sectPr w:rsidR="00CF2580" w:rsidRPr="00FC089C" w:rsidSect="007854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00"/>
      <w:pgMar w:top="374" w:right="567" w:bottom="142" w:left="426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1476" w14:textId="77777777" w:rsidR="00EE01B2" w:rsidRDefault="00EE01B2" w:rsidP="009B42DB">
      <w:r>
        <w:separator/>
      </w:r>
    </w:p>
  </w:endnote>
  <w:endnote w:type="continuationSeparator" w:id="0">
    <w:p w14:paraId="7FB19B72" w14:textId="77777777" w:rsidR="00EE01B2" w:rsidRDefault="00EE01B2" w:rsidP="009B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ヒラギノ角ゴ Pro W3">
    <w:charset w:val="80"/>
    <w:family w:val="roman"/>
    <w:notTrueType/>
    <w:pitch w:val="default"/>
  </w:font>
  <w:font w:name="MS Serif">
    <w:altName w:val="Times New Roman"/>
    <w:charset w:val="00"/>
    <w:family w:val="roman"/>
    <w:notTrueType/>
    <w:pitch w:val="default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1D13" w14:textId="77777777" w:rsidR="00F36593" w:rsidRDefault="00F365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70FD" w14:textId="77777777" w:rsidR="00F36593" w:rsidRDefault="00F365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620F" w14:textId="77777777" w:rsidR="00F36593" w:rsidRDefault="00F365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B81D" w14:textId="77777777" w:rsidR="00EE01B2" w:rsidRDefault="00EE01B2" w:rsidP="009B42DB">
      <w:r>
        <w:separator/>
      </w:r>
    </w:p>
  </w:footnote>
  <w:footnote w:type="continuationSeparator" w:id="0">
    <w:p w14:paraId="1FD0D3B0" w14:textId="77777777" w:rsidR="00EE01B2" w:rsidRDefault="00EE01B2" w:rsidP="009B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B3AC" w14:textId="77777777" w:rsidR="00F36593" w:rsidRDefault="00F36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D3F0" w14:textId="77777777" w:rsidR="00F36593" w:rsidRDefault="00F3659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5D72" w14:textId="77777777" w:rsidR="00F36593" w:rsidRDefault="00F365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B5562D8"/>
    <w:multiLevelType w:val="multilevel"/>
    <w:tmpl w:val="BA02831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D036F2C"/>
    <w:multiLevelType w:val="hybridMultilevel"/>
    <w:tmpl w:val="902A0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B2988"/>
    <w:multiLevelType w:val="hybridMultilevel"/>
    <w:tmpl w:val="E70C64C4"/>
    <w:lvl w:ilvl="0" w:tplc="04100011">
      <w:start w:val="1"/>
      <w:numFmt w:val="decimal"/>
      <w:lvlText w:val="%1)"/>
      <w:lvlJc w:val="left"/>
      <w:pPr>
        <w:ind w:left="885" w:hanging="360"/>
      </w:pPr>
    </w:lvl>
    <w:lvl w:ilvl="1" w:tplc="04100019" w:tentative="1">
      <w:start w:val="1"/>
      <w:numFmt w:val="lowerLetter"/>
      <w:lvlText w:val="%2."/>
      <w:lvlJc w:val="left"/>
      <w:pPr>
        <w:ind w:left="1605" w:hanging="360"/>
      </w:pPr>
    </w:lvl>
    <w:lvl w:ilvl="2" w:tplc="0410001B" w:tentative="1">
      <w:start w:val="1"/>
      <w:numFmt w:val="lowerRoman"/>
      <w:lvlText w:val="%3."/>
      <w:lvlJc w:val="right"/>
      <w:pPr>
        <w:ind w:left="2325" w:hanging="180"/>
      </w:pPr>
    </w:lvl>
    <w:lvl w:ilvl="3" w:tplc="0410000F" w:tentative="1">
      <w:start w:val="1"/>
      <w:numFmt w:val="decimal"/>
      <w:lvlText w:val="%4."/>
      <w:lvlJc w:val="left"/>
      <w:pPr>
        <w:ind w:left="3045" w:hanging="360"/>
      </w:pPr>
    </w:lvl>
    <w:lvl w:ilvl="4" w:tplc="04100019" w:tentative="1">
      <w:start w:val="1"/>
      <w:numFmt w:val="lowerLetter"/>
      <w:lvlText w:val="%5."/>
      <w:lvlJc w:val="left"/>
      <w:pPr>
        <w:ind w:left="3765" w:hanging="360"/>
      </w:pPr>
    </w:lvl>
    <w:lvl w:ilvl="5" w:tplc="0410001B" w:tentative="1">
      <w:start w:val="1"/>
      <w:numFmt w:val="lowerRoman"/>
      <w:lvlText w:val="%6."/>
      <w:lvlJc w:val="right"/>
      <w:pPr>
        <w:ind w:left="4485" w:hanging="180"/>
      </w:pPr>
    </w:lvl>
    <w:lvl w:ilvl="6" w:tplc="0410000F" w:tentative="1">
      <w:start w:val="1"/>
      <w:numFmt w:val="decimal"/>
      <w:lvlText w:val="%7."/>
      <w:lvlJc w:val="left"/>
      <w:pPr>
        <w:ind w:left="5205" w:hanging="360"/>
      </w:pPr>
    </w:lvl>
    <w:lvl w:ilvl="7" w:tplc="04100019" w:tentative="1">
      <w:start w:val="1"/>
      <w:numFmt w:val="lowerLetter"/>
      <w:lvlText w:val="%8."/>
      <w:lvlJc w:val="left"/>
      <w:pPr>
        <w:ind w:left="5925" w:hanging="360"/>
      </w:pPr>
    </w:lvl>
    <w:lvl w:ilvl="8" w:tplc="041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3775DA8"/>
    <w:multiLevelType w:val="hybridMultilevel"/>
    <w:tmpl w:val="84F67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2B2B"/>
    <w:multiLevelType w:val="hybridMultilevel"/>
    <w:tmpl w:val="7FBEF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5614A"/>
    <w:multiLevelType w:val="hybridMultilevel"/>
    <w:tmpl w:val="55C036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2201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5F0BF5"/>
    <w:multiLevelType w:val="hybridMultilevel"/>
    <w:tmpl w:val="A8204F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9513E"/>
    <w:multiLevelType w:val="hybridMultilevel"/>
    <w:tmpl w:val="204EB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9B4"/>
    <w:multiLevelType w:val="hybridMultilevel"/>
    <w:tmpl w:val="179AF2FC"/>
    <w:lvl w:ilvl="0" w:tplc="482880B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b w:val="0"/>
        <w:i w:val="0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C5F82"/>
    <w:multiLevelType w:val="hybridMultilevel"/>
    <w:tmpl w:val="847AD47E"/>
    <w:lvl w:ilvl="0" w:tplc="A726E638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63383"/>
    <w:multiLevelType w:val="hybridMultilevel"/>
    <w:tmpl w:val="77D0C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F44B6"/>
    <w:multiLevelType w:val="hybridMultilevel"/>
    <w:tmpl w:val="886ACF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C2D95"/>
    <w:multiLevelType w:val="hybridMultilevel"/>
    <w:tmpl w:val="BA980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65F04"/>
    <w:multiLevelType w:val="hybridMultilevel"/>
    <w:tmpl w:val="DEF024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B208CA"/>
    <w:multiLevelType w:val="hybridMultilevel"/>
    <w:tmpl w:val="24DA44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B03B2"/>
    <w:multiLevelType w:val="hybridMultilevel"/>
    <w:tmpl w:val="A1664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74B47"/>
    <w:multiLevelType w:val="hybridMultilevel"/>
    <w:tmpl w:val="4BB847C2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86262"/>
    <w:multiLevelType w:val="hybridMultilevel"/>
    <w:tmpl w:val="2A4039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2377A"/>
    <w:multiLevelType w:val="hybridMultilevel"/>
    <w:tmpl w:val="0A8E27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C376A0"/>
    <w:multiLevelType w:val="hybridMultilevel"/>
    <w:tmpl w:val="4970C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50472"/>
    <w:multiLevelType w:val="hybridMultilevel"/>
    <w:tmpl w:val="81180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D43EA"/>
    <w:multiLevelType w:val="multilevel"/>
    <w:tmpl w:val="0EB80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pacing w:val="-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0E7335"/>
    <w:multiLevelType w:val="hybridMultilevel"/>
    <w:tmpl w:val="EE389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83B5E"/>
    <w:multiLevelType w:val="hybridMultilevel"/>
    <w:tmpl w:val="0094909E"/>
    <w:lvl w:ilvl="0" w:tplc="F65604CA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2179A4"/>
    <w:multiLevelType w:val="hybridMultilevel"/>
    <w:tmpl w:val="C4543F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B5A26"/>
    <w:multiLevelType w:val="hybridMultilevel"/>
    <w:tmpl w:val="50D0C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B7FF2"/>
    <w:multiLevelType w:val="hybridMultilevel"/>
    <w:tmpl w:val="C562CC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263A0"/>
    <w:multiLevelType w:val="hybridMultilevel"/>
    <w:tmpl w:val="7F7C39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A348E1"/>
    <w:multiLevelType w:val="hybridMultilevel"/>
    <w:tmpl w:val="6B26F9B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DC2492"/>
    <w:multiLevelType w:val="hybridMultilevel"/>
    <w:tmpl w:val="3A460334"/>
    <w:lvl w:ilvl="0" w:tplc="545CD9A8">
      <w:numFmt w:val="bullet"/>
      <w:lvlText w:val="•"/>
      <w:lvlJc w:val="left"/>
      <w:pPr>
        <w:ind w:left="144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DE645D6">
      <w:numFmt w:val="bullet"/>
      <w:lvlText w:val="•"/>
      <w:lvlJc w:val="left"/>
      <w:pPr>
        <w:ind w:left="1175" w:hanging="709"/>
      </w:pPr>
      <w:rPr>
        <w:rFonts w:hint="default"/>
        <w:lang w:val="it-IT" w:eastAsia="en-US" w:bidi="ar-SA"/>
      </w:rPr>
    </w:lvl>
    <w:lvl w:ilvl="2" w:tplc="7D606246">
      <w:numFmt w:val="bullet"/>
      <w:lvlText w:val="•"/>
      <w:lvlJc w:val="left"/>
      <w:pPr>
        <w:ind w:left="2210" w:hanging="709"/>
      </w:pPr>
      <w:rPr>
        <w:rFonts w:hint="default"/>
        <w:lang w:val="it-IT" w:eastAsia="en-US" w:bidi="ar-SA"/>
      </w:rPr>
    </w:lvl>
    <w:lvl w:ilvl="3" w:tplc="9F6C5A62">
      <w:numFmt w:val="bullet"/>
      <w:lvlText w:val="•"/>
      <w:lvlJc w:val="left"/>
      <w:pPr>
        <w:ind w:left="3245" w:hanging="709"/>
      </w:pPr>
      <w:rPr>
        <w:rFonts w:hint="default"/>
        <w:lang w:val="it-IT" w:eastAsia="en-US" w:bidi="ar-SA"/>
      </w:rPr>
    </w:lvl>
    <w:lvl w:ilvl="4" w:tplc="CFA2F35A">
      <w:numFmt w:val="bullet"/>
      <w:lvlText w:val="•"/>
      <w:lvlJc w:val="left"/>
      <w:pPr>
        <w:ind w:left="4280" w:hanging="709"/>
      </w:pPr>
      <w:rPr>
        <w:rFonts w:hint="default"/>
        <w:lang w:val="it-IT" w:eastAsia="en-US" w:bidi="ar-SA"/>
      </w:rPr>
    </w:lvl>
    <w:lvl w:ilvl="5" w:tplc="72546F5E">
      <w:numFmt w:val="bullet"/>
      <w:lvlText w:val="•"/>
      <w:lvlJc w:val="left"/>
      <w:pPr>
        <w:ind w:left="5315" w:hanging="709"/>
      </w:pPr>
      <w:rPr>
        <w:rFonts w:hint="default"/>
        <w:lang w:val="it-IT" w:eastAsia="en-US" w:bidi="ar-SA"/>
      </w:rPr>
    </w:lvl>
    <w:lvl w:ilvl="6" w:tplc="03727412">
      <w:numFmt w:val="bullet"/>
      <w:lvlText w:val="•"/>
      <w:lvlJc w:val="left"/>
      <w:pPr>
        <w:ind w:left="6350" w:hanging="709"/>
      </w:pPr>
      <w:rPr>
        <w:rFonts w:hint="default"/>
        <w:lang w:val="it-IT" w:eastAsia="en-US" w:bidi="ar-SA"/>
      </w:rPr>
    </w:lvl>
    <w:lvl w:ilvl="7" w:tplc="7C1A77A2">
      <w:numFmt w:val="bullet"/>
      <w:lvlText w:val="•"/>
      <w:lvlJc w:val="left"/>
      <w:pPr>
        <w:ind w:left="7385" w:hanging="709"/>
      </w:pPr>
      <w:rPr>
        <w:rFonts w:hint="default"/>
        <w:lang w:val="it-IT" w:eastAsia="en-US" w:bidi="ar-SA"/>
      </w:rPr>
    </w:lvl>
    <w:lvl w:ilvl="8" w:tplc="04BE3CA0">
      <w:numFmt w:val="bullet"/>
      <w:lvlText w:val="•"/>
      <w:lvlJc w:val="left"/>
      <w:pPr>
        <w:ind w:left="8420" w:hanging="709"/>
      </w:pPr>
      <w:rPr>
        <w:rFonts w:hint="default"/>
        <w:lang w:val="it-IT" w:eastAsia="en-US" w:bidi="ar-SA"/>
      </w:rPr>
    </w:lvl>
  </w:abstractNum>
  <w:abstractNum w:abstractNumId="33" w15:restartNumberingAfterBreak="0">
    <w:nsid w:val="7E281E3D"/>
    <w:multiLevelType w:val="hybridMultilevel"/>
    <w:tmpl w:val="A22278F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914F9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182169">
    <w:abstractNumId w:val="0"/>
  </w:num>
  <w:num w:numId="2" w16cid:durableId="460072145">
    <w:abstractNumId w:val="2"/>
  </w:num>
  <w:num w:numId="3" w16cid:durableId="517894409">
    <w:abstractNumId w:val="33"/>
  </w:num>
  <w:num w:numId="4" w16cid:durableId="647630829">
    <w:abstractNumId w:val="20"/>
  </w:num>
  <w:num w:numId="5" w16cid:durableId="456948788">
    <w:abstractNumId w:val="31"/>
  </w:num>
  <w:num w:numId="6" w16cid:durableId="508641154">
    <w:abstractNumId w:val="9"/>
  </w:num>
  <w:num w:numId="7" w16cid:durableId="508107325">
    <w:abstractNumId w:val="30"/>
  </w:num>
  <w:num w:numId="8" w16cid:durableId="1036976437">
    <w:abstractNumId w:val="21"/>
  </w:num>
  <w:num w:numId="9" w16cid:durableId="1853833063">
    <w:abstractNumId w:val="16"/>
  </w:num>
  <w:num w:numId="10" w16cid:durableId="442499622">
    <w:abstractNumId w:val="11"/>
  </w:num>
  <w:num w:numId="11" w16cid:durableId="437331675">
    <w:abstractNumId w:val="24"/>
  </w:num>
  <w:num w:numId="12" w16cid:durableId="1662000795">
    <w:abstractNumId w:val="6"/>
  </w:num>
  <w:num w:numId="13" w16cid:durableId="1212956167">
    <w:abstractNumId w:val="18"/>
  </w:num>
  <w:num w:numId="14" w16cid:durableId="1208955684">
    <w:abstractNumId w:val="1"/>
    <w:lvlOverride w:ilvl="0"/>
  </w:num>
  <w:num w:numId="15" w16cid:durableId="879707903">
    <w:abstractNumId w:val="22"/>
  </w:num>
  <w:num w:numId="16" w16cid:durableId="1680811678">
    <w:abstractNumId w:val="13"/>
  </w:num>
  <w:num w:numId="17" w16cid:durableId="706026327">
    <w:abstractNumId w:val="34"/>
  </w:num>
  <w:num w:numId="18" w16cid:durableId="2117869370">
    <w:abstractNumId w:val="8"/>
  </w:num>
  <w:num w:numId="19" w16cid:durableId="958996190">
    <w:abstractNumId w:val="15"/>
  </w:num>
  <w:num w:numId="20" w16cid:durableId="1533030070">
    <w:abstractNumId w:val="17"/>
  </w:num>
  <w:num w:numId="21" w16cid:durableId="1221936693">
    <w:abstractNumId w:val="29"/>
  </w:num>
  <w:num w:numId="22" w16cid:durableId="379785961">
    <w:abstractNumId w:val="14"/>
  </w:num>
  <w:num w:numId="23" w16cid:durableId="681585005">
    <w:abstractNumId w:val="26"/>
  </w:num>
  <w:num w:numId="24" w16cid:durableId="1925721077">
    <w:abstractNumId w:val="4"/>
  </w:num>
  <w:num w:numId="25" w16cid:durableId="269823909">
    <w:abstractNumId w:val="27"/>
  </w:num>
  <w:num w:numId="26" w16cid:durableId="330108384">
    <w:abstractNumId w:val="12"/>
  </w:num>
  <w:num w:numId="27" w16cid:durableId="2128617588">
    <w:abstractNumId w:val="25"/>
  </w:num>
  <w:num w:numId="28" w16cid:durableId="929000388">
    <w:abstractNumId w:val="10"/>
  </w:num>
  <w:num w:numId="29" w16cid:durableId="384917615">
    <w:abstractNumId w:val="3"/>
  </w:num>
  <w:num w:numId="30" w16cid:durableId="1337801253">
    <w:abstractNumId w:val="28"/>
  </w:num>
  <w:num w:numId="31" w16cid:durableId="1485733796">
    <w:abstractNumId w:val="19"/>
  </w:num>
  <w:num w:numId="32" w16cid:durableId="93016266">
    <w:abstractNumId w:val="32"/>
  </w:num>
  <w:num w:numId="33" w16cid:durableId="723019595">
    <w:abstractNumId w:val="5"/>
  </w:num>
  <w:num w:numId="34" w16cid:durableId="1960985499">
    <w:abstractNumId w:val="7"/>
  </w:num>
  <w:num w:numId="35" w16cid:durableId="12096124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D5"/>
    <w:rsid w:val="00004379"/>
    <w:rsid w:val="00010784"/>
    <w:rsid w:val="000232E6"/>
    <w:rsid w:val="00043CC4"/>
    <w:rsid w:val="00044772"/>
    <w:rsid w:val="00045FF7"/>
    <w:rsid w:val="00053CD5"/>
    <w:rsid w:val="00060834"/>
    <w:rsid w:val="00065E93"/>
    <w:rsid w:val="00074235"/>
    <w:rsid w:val="00075C16"/>
    <w:rsid w:val="0007679E"/>
    <w:rsid w:val="00085BEB"/>
    <w:rsid w:val="00087E51"/>
    <w:rsid w:val="00092EEA"/>
    <w:rsid w:val="0009309B"/>
    <w:rsid w:val="000A3653"/>
    <w:rsid w:val="000A6C08"/>
    <w:rsid w:val="000B18F6"/>
    <w:rsid w:val="000B22D3"/>
    <w:rsid w:val="000D46E1"/>
    <w:rsid w:val="000D5F9C"/>
    <w:rsid w:val="000D6F05"/>
    <w:rsid w:val="000E0456"/>
    <w:rsid w:val="000E0B59"/>
    <w:rsid w:val="0010265C"/>
    <w:rsid w:val="0010531D"/>
    <w:rsid w:val="00112108"/>
    <w:rsid w:val="00112198"/>
    <w:rsid w:val="001161CA"/>
    <w:rsid w:val="00116EC9"/>
    <w:rsid w:val="00124946"/>
    <w:rsid w:val="00132B0E"/>
    <w:rsid w:val="00134230"/>
    <w:rsid w:val="00134CDB"/>
    <w:rsid w:val="0013543C"/>
    <w:rsid w:val="00146422"/>
    <w:rsid w:val="00150BCB"/>
    <w:rsid w:val="001522F7"/>
    <w:rsid w:val="00155AF2"/>
    <w:rsid w:val="00157B1D"/>
    <w:rsid w:val="0016003F"/>
    <w:rsid w:val="00166030"/>
    <w:rsid w:val="001777F4"/>
    <w:rsid w:val="00180147"/>
    <w:rsid w:val="00191B56"/>
    <w:rsid w:val="001B1A12"/>
    <w:rsid w:val="001C22D3"/>
    <w:rsid w:val="001C3232"/>
    <w:rsid w:val="001C504F"/>
    <w:rsid w:val="001E1E21"/>
    <w:rsid w:val="001F2C42"/>
    <w:rsid w:val="00200A03"/>
    <w:rsid w:val="00202A02"/>
    <w:rsid w:val="00211B8D"/>
    <w:rsid w:val="002146C0"/>
    <w:rsid w:val="00217BBD"/>
    <w:rsid w:val="00227CB5"/>
    <w:rsid w:val="00231D6C"/>
    <w:rsid w:val="00233665"/>
    <w:rsid w:val="00234749"/>
    <w:rsid w:val="002A0944"/>
    <w:rsid w:val="002A1CED"/>
    <w:rsid w:val="002A3336"/>
    <w:rsid w:val="002A5CBC"/>
    <w:rsid w:val="002A5D7E"/>
    <w:rsid w:val="002A6254"/>
    <w:rsid w:val="002C6F70"/>
    <w:rsid w:val="002D19C9"/>
    <w:rsid w:val="002E4881"/>
    <w:rsid w:val="002F0BE4"/>
    <w:rsid w:val="003036DA"/>
    <w:rsid w:val="003176ED"/>
    <w:rsid w:val="00320377"/>
    <w:rsid w:val="003245FF"/>
    <w:rsid w:val="00332607"/>
    <w:rsid w:val="003373B5"/>
    <w:rsid w:val="00362130"/>
    <w:rsid w:val="003665C2"/>
    <w:rsid w:val="00366B9F"/>
    <w:rsid w:val="00373386"/>
    <w:rsid w:val="003751D7"/>
    <w:rsid w:val="0038030C"/>
    <w:rsid w:val="00382D8E"/>
    <w:rsid w:val="0038421C"/>
    <w:rsid w:val="003A46DF"/>
    <w:rsid w:val="003B02FD"/>
    <w:rsid w:val="003B3733"/>
    <w:rsid w:val="003C32B0"/>
    <w:rsid w:val="003C48EE"/>
    <w:rsid w:val="003C79B8"/>
    <w:rsid w:val="003C7C45"/>
    <w:rsid w:val="003D1A1E"/>
    <w:rsid w:val="003D1A9E"/>
    <w:rsid w:val="003D4217"/>
    <w:rsid w:val="003E1398"/>
    <w:rsid w:val="003E41F3"/>
    <w:rsid w:val="003F4F99"/>
    <w:rsid w:val="003F5B0C"/>
    <w:rsid w:val="0040183C"/>
    <w:rsid w:val="00404F19"/>
    <w:rsid w:val="0040658F"/>
    <w:rsid w:val="00407DAB"/>
    <w:rsid w:val="00410C96"/>
    <w:rsid w:val="00421433"/>
    <w:rsid w:val="00431E37"/>
    <w:rsid w:val="00432429"/>
    <w:rsid w:val="00432738"/>
    <w:rsid w:val="00432F3E"/>
    <w:rsid w:val="0043578F"/>
    <w:rsid w:val="004438CB"/>
    <w:rsid w:val="00443E29"/>
    <w:rsid w:val="004472F8"/>
    <w:rsid w:val="00464B7E"/>
    <w:rsid w:val="00464EDF"/>
    <w:rsid w:val="00465284"/>
    <w:rsid w:val="00467ED7"/>
    <w:rsid w:val="004708CD"/>
    <w:rsid w:val="00472308"/>
    <w:rsid w:val="0047548D"/>
    <w:rsid w:val="00483216"/>
    <w:rsid w:val="00485684"/>
    <w:rsid w:val="00487D17"/>
    <w:rsid w:val="004918CD"/>
    <w:rsid w:val="00491E39"/>
    <w:rsid w:val="00494AC9"/>
    <w:rsid w:val="004A0768"/>
    <w:rsid w:val="004A56C0"/>
    <w:rsid w:val="004B519B"/>
    <w:rsid w:val="004B6AA9"/>
    <w:rsid w:val="004B6CD9"/>
    <w:rsid w:val="004B6FF0"/>
    <w:rsid w:val="004B751D"/>
    <w:rsid w:val="004C0D29"/>
    <w:rsid w:val="004D099A"/>
    <w:rsid w:val="004D2234"/>
    <w:rsid w:val="004E2E0E"/>
    <w:rsid w:val="005040BB"/>
    <w:rsid w:val="00511982"/>
    <w:rsid w:val="0051757C"/>
    <w:rsid w:val="00520A7D"/>
    <w:rsid w:val="00523079"/>
    <w:rsid w:val="00527D0F"/>
    <w:rsid w:val="00536FCB"/>
    <w:rsid w:val="00537072"/>
    <w:rsid w:val="00542920"/>
    <w:rsid w:val="00557B7F"/>
    <w:rsid w:val="00564339"/>
    <w:rsid w:val="00571A85"/>
    <w:rsid w:val="00573D6A"/>
    <w:rsid w:val="0057519C"/>
    <w:rsid w:val="0058008A"/>
    <w:rsid w:val="00594EE3"/>
    <w:rsid w:val="00595A13"/>
    <w:rsid w:val="005970C9"/>
    <w:rsid w:val="005A7A8F"/>
    <w:rsid w:val="005B3F16"/>
    <w:rsid w:val="005B54A6"/>
    <w:rsid w:val="005B7DC4"/>
    <w:rsid w:val="005C44FC"/>
    <w:rsid w:val="005C6A08"/>
    <w:rsid w:val="005D03F0"/>
    <w:rsid w:val="005D76ED"/>
    <w:rsid w:val="005E6680"/>
    <w:rsid w:val="006038B4"/>
    <w:rsid w:val="00604361"/>
    <w:rsid w:val="00605497"/>
    <w:rsid w:val="00613E39"/>
    <w:rsid w:val="00627545"/>
    <w:rsid w:val="006345D7"/>
    <w:rsid w:val="00634A7B"/>
    <w:rsid w:val="00636157"/>
    <w:rsid w:val="00636E7F"/>
    <w:rsid w:val="00640DCA"/>
    <w:rsid w:val="006450FE"/>
    <w:rsid w:val="00664EBB"/>
    <w:rsid w:val="00677405"/>
    <w:rsid w:val="0068649C"/>
    <w:rsid w:val="006906EF"/>
    <w:rsid w:val="0069663C"/>
    <w:rsid w:val="006A4E48"/>
    <w:rsid w:val="006A66F9"/>
    <w:rsid w:val="006A6CE6"/>
    <w:rsid w:val="006C0442"/>
    <w:rsid w:val="006C270D"/>
    <w:rsid w:val="006C334A"/>
    <w:rsid w:val="006D2045"/>
    <w:rsid w:val="006D43BA"/>
    <w:rsid w:val="006E16F9"/>
    <w:rsid w:val="006E56F8"/>
    <w:rsid w:val="006F5785"/>
    <w:rsid w:val="006F5A94"/>
    <w:rsid w:val="006F7692"/>
    <w:rsid w:val="00702D6A"/>
    <w:rsid w:val="0070309D"/>
    <w:rsid w:val="007109B3"/>
    <w:rsid w:val="00714F4B"/>
    <w:rsid w:val="00727899"/>
    <w:rsid w:val="007331AC"/>
    <w:rsid w:val="00735D35"/>
    <w:rsid w:val="007404F4"/>
    <w:rsid w:val="0074258F"/>
    <w:rsid w:val="00743B59"/>
    <w:rsid w:val="00744DD4"/>
    <w:rsid w:val="0074785E"/>
    <w:rsid w:val="007567AD"/>
    <w:rsid w:val="007643B9"/>
    <w:rsid w:val="0077023F"/>
    <w:rsid w:val="00775412"/>
    <w:rsid w:val="0078548E"/>
    <w:rsid w:val="00785643"/>
    <w:rsid w:val="00791D9B"/>
    <w:rsid w:val="007A09C2"/>
    <w:rsid w:val="007A3741"/>
    <w:rsid w:val="007B40F0"/>
    <w:rsid w:val="007B4B46"/>
    <w:rsid w:val="007B57E5"/>
    <w:rsid w:val="007C5699"/>
    <w:rsid w:val="007E271B"/>
    <w:rsid w:val="007F3CA3"/>
    <w:rsid w:val="007F4E7A"/>
    <w:rsid w:val="00807A70"/>
    <w:rsid w:val="00810B08"/>
    <w:rsid w:val="00816F0B"/>
    <w:rsid w:val="00822547"/>
    <w:rsid w:val="00832527"/>
    <w:rsid w:val="00855713"/>
    <w:rsid w:val="00856B83"/>
    <w:rsid w:val="00856D8E"/>
    <w:rsid w:val="00860251"/>
    <w:rsid w:val="00860F78"/>
    <w:rsid w:val="0086740F"/>
    <w:rsid w:val="008835FE"/>
    <w:rsid w:val="0089673D"/>
    <w:rsid w:val="008969A1"/>
    <w:rsid w:val="008B2C5E"/>
    <w:rsid w:val="008C70DE"/>
    <w:rsid w:val="008D18AA"/>
    <w:rsid w:val="008D1A78"/>
    <w:rsid w:val="008D3670"/>
    <w:rsid w:val="008E4477"/>
    <w:rsid w:val="008E6AB6"/>
    <w:rsid w:val="008F244C"/>
    <w:rsid w:val="008F2C80"/>
    <w:rsid w:val="008F7C45"/>
    <w:rsid w:val="009030B4"/>
    <w:rsid w:val="0090317F"/>
    <w:rsid w:val="00907002"/>
    <w:rsid w:val="0090756C"/>
    <w:rsid w:val="0091274D"/>
    <w:rsid w:val="009224A7"/>
    <w:rsid w:val="009256FB"/>
    <w:rsid w:val="00936509"/>
    <w:rsid w:val="0094272A"/>
    <w:rsid w:val="0094461B"/>
    <w:rsid w:val="00950E6A"/>
    <w:rsid w:val="00951549"/>
    <w:rsid w:val="00955BF6"/>
    <w:rsid w:val="00990081"/>
    <w:rsid w:val="00994794"/>
    <w:rsid w:val="009A634F"/>
    <w:rsid w:val="009B0FE2"/>
    <w:rsid w:val="009B2BAC"/>
    <w:rsid w:val="009B42DB"/>
    <w:rsid w:val="009C01E4"/>
    <w:rsid w:val="009C3674"/>
    <w:rsid w:val="009C3859"/>
    <w:rsid w:val="009C548C"/>
    <w:rsid w:val="009D1C1E"/>
    <w:rsid w:val="009D4868"/>
    <w:rsid w:val="009F025B"/>
    <w:rsid w:val="009F364E"/>
    <w:rsid w:val="00A02AFF"/>
    <w:rsid w:val="00A0770A"/>
    <w:rsid w:val="00A12F6F"/>
    <w:rsid w:val="00A21F7C"/>
    <w:rsid w:val="00A307B4"/>
    <w:rsid w:val="00A33541"/>
    <w:rsid w:val="00A33ADD"/>
    <w:rsid w:val="00A34EBC"/>
    <w:rsid w:val="00A36E6A"/>
    <w:rsid w:val="00A512CB"/>
    <w:rsid w:val="00A5588D"/>
    <w:rsid w:val="00A56ECC"/>
    <w:rsid w:val="00A60484"/>
    <w:rsid w:val="00A6679B"/>
    <w:rsid w:val="00A732F5"/>
    <w:rsid w:val="00A77F35"/>
    <w:rsid w:val="00A81816"/>
    <w:rsid w:val="00A835DC"/>
    <w:rsid w:val="00A83EEB"/>
    <w:rsid w:val="00A9276B"/>
    <w:rsid w:val="00A95CD8"/>
    <w:rsid w:val="00AA3448"/>
    <w:rsid w:val="00AA55E4"/>
    <w:rsid w:val="00AB047E"/>
    <w:rsid w:val="00AC23A2"/>
    <w:rsid w:val="00AD31B1"/>
    <w:rsid w:val="00AE188B"/>
    <w:rsid w:val="00AF48A9"/>
    <w:rsid w:val="00B00CA1"/>
    <w:rsid w:val="00B035EB"/>
    <w:rsid w:val="00B0510A"/>
    <w:rsid w:val="00B103A0"/>
    <w:rsid w:val="00B11FDD"/>
    <w:rsid w:val="00B1304B"/>
    <w:rsid w:val="00B260CF"/>
    <w:rsid w:val="00B26F96"/>
    <w:rsid w:val="00B27995"/>
    <w:rsid w:val="00B43F60"/>
    <w:rsid w:val="00B46545"/>
    <w:rsid w:val="00B51263"/>
    <w:rsid w:val="00B545ED"/>
    <w:rsid w:val="00B561CD"/>
    <w:rsid w:val="00B566B9"/>
    <w:rsid w:val="00B8398F"/>
    <w:rsid w:val="00B871B3"/>
    <w:rsid w:val="00B95073"/>
    <w:rsid w:val="00BA0FBC"/>
    <w:rsid w:val="00BA15D9"/>
    <w:rsid w:val="00BA21E0"/>
    <w:rsid w:val="00BA7EF1"/>
    <w:rsid w:val="00BB3DF1"/>
    <w:rsid w:val="00BB50F2"/>
    <w:rsid w:val="00BC0A82"/>
    <w:rsid w:val="00BC6A2C"/>
    <w:rsid w:val="00BD1EAF"/>
    <w:rsid w:val="00BD7E78"/>
    <w:rsid w:val="00BE1F8C"/>
    <w:rsid w:val="00BE3215"/>
    <w:rsid w:val="00BE4655"/>
    <w:rsid w:val="00BF05F0"/>
    <w:rsid w:val="00BF5C72"/>
    <w:rsid w:val="00BF6211"/>
    <w:rsid w:val="00C02ACA"/>
    <w:rsid w:val="00C03C74"/>
    <w:rsid w:val="00C2026E"/>
    <w:rsid w:val="00C2173B"/>
    <w:rsid w:val="00C22C66"/>
    <w:rsid w:val="00C265C5"/>
    <w:rsid w:val="00C31247"/>
    <w:rsid w:val="00C323D2"/>
    <w:rsid w:val="00C34737"/>
    <w:rsid w:val="00C35503"/>
    <w:rsid w:val="00C40DDE"/>
    <w:rsid w:val="00C615F5"/>
    <w:rsid w:val="00C63C53"/>
    <w:rsid w:val="00C70FF3"/>
    <w:rsid w:val="00C71F76"/>
    <w:rsid w:val="00C73252"/>
    <w:rsid w:val="00C84DA0"/>
    <w:rsid w:val="00C91F69"/>
    <w:rsid w:val="00C95B5F"/>
    <w:rsid w:val="00CB058D"/>
    <w:rsid w:val="00CB5640"/>
    <w:rsid w:val="00CC68FC"/>
    <w:rsid w:val="00CC6CC2"/>
    <w:rsid w:val="00CD2C55"/>
    <w:rsid w:val="00CD7013"/>
    <w:rsid w:val="00CE0B32"/>
    <w:rsid w:val="00CE268B"/>
    <w:rsid w:val="00CE67DD"/>
    <w:rsid w:val="00CE6BB2"/>
    <w:rsid w:val="00CF2580"/>
    <w:rsid w:val="00CF59FD"/>
    <w:rsid w:val="00CF6B56"/>
    <w:rsid w:val="00D008B4"/>
    <w:rsid w:val="00D023C1"/>
    <w:rsid w:val="00D02A0C"/>
    <w:rsid w:val="00D02A98"/>
    <w:rsid w:val="00D078A8"/>
    <w:rsid w:val="00D20117"/>
    <w:rsid w:val="00D220F2"/>
    <w:rsid w:val="00D304DF"/>
    <w:rsid w:val="00D30984"/>
    <w:rsid w:val="00D31497"/>
    <w:rsid w:val="00D36D28"/>
    <w:rsid w:val="00D47FE6"/>
    <w:rsid w:val="00D524E3"/>
    <w:rsid w:val="00D524F6"/>
    <w:rsid w:val="00D52F1A"/>
    <w:rsid w:val="00D53243"/>
    <w:rsid w:val="00D55122"/>
    <w:rsid w:val="00D578B5"/>
    <w:rsid w:val="00D627BF"/>
    <w:rsid w:val="00D65C3F"/>
    <w:rsid w:val="00D81E70"/>
    <w:rsid w:val="00D86566"/>
    <w:rsid w:val="00D913BF"/>
    <w:rsid w:val="00DA4F5F"/>
    <w:rsid w:val="00DB0FC1"/>
    <w:rsid w:val="00DB2498"/>
    <w:rsid w:val="00DC3F53"/>
    <w:rsid w:val="00DC4EE1"/>
    <w:rsid w:val="00DC6115"/>
    <w:rsid w:val="00DD5BD8"/>
    <w:rsid w:val="00DF5385"/>
    <w:rsid w:val="00DF5AC3"/>
    <w:rsid w:val="00DF7246"/>
    <w:rsid w:val="00E036B1"/>
    <w:rsid w:val="00E06861"/>
    <w:rsid w:val="00E108BA"/>
    <w:rsid w:val="00E11006"/>
    <w:rsid w:val="00E12C1A"/>
    <w:rsid w:val="00E20DEC"/>
    <w:rsid w:val="00E27FFD"/>
    <w:rsid w:val="00E3226D"/>
    <w:rsid w:val="00E33552"/>
    <w:rsid w:val="00E33563"/>
    <w:rsid w:val="00E33E1F"/>
    <w:rsid w:val="00E355A7"/>
    <w:rsid w:val="00E4479E"/>
    <w:rsid w:val="00E4652E"/>
    <w:rsid w:val="00E5622F"/>
    <w:rsid w:val="00E61423"/>
    <w:rsid w:val="00E772A8"/>
    <w:rsid w:val="00E77982"/>
    <w:rsid w:val="00E84C5D"/>
    <w:rsid w:val="00E84EB3"/>
    <w:rsid w:val="00E86013"/>
    <w:rsid w:val="00E8791F"/>
    <w:rsid w:val="00E94F12"/>
    <w:rsid w:val="00EA0EA8"/>
    <w:rsid w:val="00EA52A1"/>
    <w:rsid w:val="00EB3850"/>
    <w:rsid w:val="00EB742A"/>
    <w:rsid w:val="00EC34D8"/>
    <w:rsid w:val="00ED2ECA"/>
    <w:rsid w:val="00ED3961"/>
    <w:rsid w:val="00EE01B2"/>
    <w:rsid w:val="00EE4652"/>
    <w:rsid w:val="00EE5679"/>
    <w:rsid w:val="00EE5AFC"/>
    <w:rsid w:val="00F016D0"/>
    <w:rsid w:val="00F04759"/>
    <w:rsid w:val="00F04D56"/>
    <w:rsid w:val="00F05CF4"/>
    <w:rsid w:val="00F1042F"/>
    <w:rsid w:val="00F12AF9"/>
    <w:rsid w:val="00F17DB1"/>
    <w:rsid w:val="00F205E1"/>
    <w:rsid w:val="00F227B3"/>
    <w:rsid w:val="00F22C7E"/>
    <w:rsid w:val="00F23514"/>
    <w:rsid w:val="00F26E48"/>
    <w:rsid w:val="00F279B5"/>
    <w:rsid w:val="00F336E7"/>
    <w:rsid w:val="00F36593"/>
    <w:rsid w:val="00F46B6C"/>
    <w:rsid w:val="00F62E80"/>
    <w:rsid w:val="00F7138A"/>
    <w:rsid w:val="00F9080F"/>
    <w:rsid w:val="00F90B54"/>
    <w:rsid w:val="00F92729"/>
    <w:rsid w:val="00F9291A"/>
    <w:rsid w:val="00F93B35"/>
    <w:rsid w:val="00F94FC0"/>
    <w:rsid w:val="00FA7FBA"/>
    <w:rsid w:val="00FB45DA"/>
    <w:rsid w:val="00FC089C"/>
    <w:rsid w:val="00FC178C"/>
    <w:rsid w:val="00FC346C"/>
    <w:rsid w:val="00FC53EA"/>
    <w:rsid w:val="00FC7532"/>
    <w:rsid w:val="00FD2796"/>
    <w:rsid w:val="00FD5658"/>
    <w:rsid w:val="00FD7E6A"/>
    <w:rsid w:val="00FE4908"/>
    <w:rsid w:val="00FF5DCA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884018"/>
  <w15:chartTrackingRefBased/>
  <w15:docId w15:val="{F65B0029-5F2A-A945-8797-70A4604E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sz w:val="5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sz w:val="7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6480" w:firstLine="0"/>
      <w:jc w:val="center"/>
      <w:outlineLvl w:val="3"/>
    </w:pPr>
    <w:rPr>
      <w:sz w:val="36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right"/>
      <w:outlineLvl w:val="5"/>
    </w:pPr>
    <w:rPr>
      <w:rFonts w:ascii="Arial" w:hAnsi="Arial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ascii="Arial" w:hAnsi="Arial"/>
      <w:b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0" w:right="-262" w:firstLine="0"/>
      <w:jc w:val="right"/>
      <w:outlineLvl w:val="7"/>
    </w:pPr>
    <w:rPr>
      <w:rFonts w:ascii="Arial" w:hAnsi="Arial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spacing w:line="360" w:lineRule="auto"/>
      <w:ind w:left="0" w:right="-262" w:firstLine="0"/>
      <w:jc w:val="both"/>
      <w:outlineLvl w:val="8"/>
    </w:pPr>
    <w:rPr>
      <w:rFonts w:ascii="Arial" w:hAnsi="Arial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Carpredefinitoparagrafo3">
    <w:name w:val="Car. predefinito paragrafo3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sz w:val="16"/>
      <w:szCs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  <w:sz w:val="16"/>
      <w:szCs w:val="16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1"/>
  </w:style>
  <w:style w:type="character" w:styleId="Enfasicorsivo">
    <w:name w:val="Emphasis"/>
    <w:qFormat/>
    <w:rPr>
      <w:i/>
      <w:iCs/>
    </w:rPr>
  </w:style>
  <w:style w:type="character" w:customStyle="1" w:styleId="lg1">
    <w:name w:val="lg1"/>
    <w:rPr>
      <w:color w:val="888888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rPr>
      <w:sz w:val="32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p0">
    <w:name w:val="p0"/>
    <w:basedOn w:val="Normale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e"/>
    <w:pPr>
      <w:spacing w:line="240" w:lineRule="atLeast"/>
    </w:pPr>
  </w:style>
  <w:style w:type="paragraph" w:customStyle="1" w:styleId="p2">
    <w:name w:val="p2"/>
    <w:basedOn w:val="Normale"/>
    <w:pPr>
      <w:tabs>
        <w:tab w:val="left" w:pos="720"/>
      </w:tabs>
      <w:spacing w:line="240" w:lineRule="atLeast"/>
    </w:pPr>
  </w:style>
  <w:style w:type="paragraph" w:customStyle="1" w:styleId="c3">
    <w:name w:val="c3"/>
    <w:basedOn w:val="Normale"/>
    <w:pPr>
      <w:spacing w:line="240" w:lineRule="atLeast"/>
      <w:jc w:val="center"/>
    </w:pPr>
  </w:style>
  <w:style w:type="paragraph" w:customStyle="1" w:styleId="p4">
    <w:name w:val="p4"/>
    <w:basedOn w:val="Normale"/>
    <w:pPr>
      <w:tabs>
        <w:tab w:val="left" w:pos="4980"/>
      </w:tabs>
      <w:spacing w:line="260" w:lineRule="atLeast"/>
      <w:ind w:left="1180"/>
    </w:pPr>
  </w:style>
  <w:style w:type="paragraph" w:customStyle="1" w:styleId="c5">
    <w:name w:val="c5"/>
    <w:basedOn w:val="Normale"/>
    <w:pPr>
      <w:spacing w:line="240" w:lineRule="atLeast"/>
      <w:jc w:val="center"/>
    </w:pPr>
  </w:style>
  <w:style w:type="paragraph" w:customStyle="1" w:styleId="p6">
    <w:name w:val="p6"/>
    <w:basedOn w:val="Normale"/>
    <w:pPr>
      <w:tabs>
        <w:tab w:val="left" w:pos="1680"/>
      </w:tabs>
      <w:spacing w:line="260" w:lineRule="atLeast"/>
      <w:ind w:left="240"/>
    </w:pPr>
  </w:style>
  <w:style w:type="paragraph" w:customStyle="1" w:styleId="p7">
    <w:name w:val="p7"/>
    <w:basedOn w:val="Normale"/>
    <w:pPr>
      <w:tabs>
        <w:tab w:val="left" w:pos="1900"/>
      </w:tabs>
      <w:spacing w:line="260" w:lineRule="atLeast"/>
      <w:ind w:left="240"/>
    </w:pPr>
  </w:style>
  <w:style w:type="paragraph" w:customStyle="1" w:styleId="c8">
    <w:name w:val="c8"/>
    <w:basedOn w:val="Normale"/>
    <w:pPr>
      <w:spacing w:line="240" w:lineRule="atLeast"/>
      <w:jc w:val="center"/>
    </w:pPr>
  </w:style>
  <w:style w:type="paragraph" w:customStyle="1" w:styleId="p9">
    <w:name w:val="p9"/>
    <w:basedOn w:val="Normale"/>
    <w:pPr>
      <w:tabs>
        <w:tab w:val="left" w:pos="2584"/>
      </w:tabs>
      <w:spacing w:line="260" w:lineRule="atLeast"/>
      <w:ind w:left="1152" w:hanging="288"/>
    </w:pPr>
  </w:style>
  <w:style w:type="paragraph" w:customStyle="1" w:styleId="p10">
    <w:name w:val="p10"/>
    <w:basedOn w:val="Normale"/>
    <w:pPr>
      <w:tabs>
        <w:tab w:val="left" w:pos="720"/>
      </w:tabs>
      <w:spacing w:line="240" w:lineRule="atLeast"/>
    </w:pPr>
  </w:style>
  <w:style w:type="paragraph" w:customStyle="1" w:styleId="p11">
    <w:name w:val="p11"/>
    <w:basedOn w:val="Normale"/>
    <w:pPr>
      <w:tabs>
        <w:tab w:val="left" w:pos="720"/>
      </w:tabs>
      <w:spacing w:line="240" w:lineRule="atLeast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NormaleWeb">
    <w:name w:val="Normal (Web)"/>
    <w:basedOn w:val="Normale"/>
    <w:pPr>
      <w:widowControl/>
      <w:autoSpaceDE/>
      <w:spacing w:before="100" w:after="100"/>
    </w:p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customStyle="1" w:styleId="Corpodeltesto31">
    <w:name w:val="Corpo del testo 31"/>
    <w:basedOn w:val="Normale"/>
    <w:pPr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uiPriority w:val="10"/>
    <w:qFormat/>
    <w:pPr>
      <w:widowControl/>
      <w:autoSpaceDE/>
      <w:ind w:right="512"/>
      <w:jc w:val="center"/>
    </w:pPr>
    <w:rPr>
      <w:b/>
      <w:bCs/>
      <w:sz w:val="56"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708"/>
    </w:pPr>
  </w:style>
  <w:style w:type="paragraph" w:customStyle="1" w:styleId="NormaleTahoma">
    <w:name w:val="Normale + Tahoma"/>
    <w:basedOn w:val="Normale"/>
    <w:rPr>
      <w:rFonts w:ascii="Tahoma" w:hAnsi="Tahoma" w:cs="Tahoma"/>
      <w:b/>
      <w:smallCaps/>
    </w:rPr>
  </w:style>
  <w:style w:type="paragraph" w:customStyle="1" w:styleId="Stile1">
    <w:name w:val="Stile1"/>
    <w:basedOn w:val="Normale"/>
    <w:rPr>
      <w:rFonts w:ascii="Arial" w:hAnsi="Arial" w:cs="Arial"/>
      <w:b/>
    </w:rPr>
  </w:style>
  <w:style w:type="paragraph" w:customStyle="1" w:styleId="Normale1">
    <w:name w:val="Normale1"/>
    <w:rsid w:val="0040658F"/>
    <w:pPr>
      <w:widowControl w:val="0"/>
      <w:suppressAutoHyphens/>
    </w:pPr>
    <w:rPr>
      <w:rFonts w:eastAsia="ヒラギノ角ゴ Pro W3"/>
      <w:color w:val="000000"/>
      <w:sz w:val="24"/>
    </w:rPr>
  </w:style>
  <w:style w:type="paragraph" w:customStyle="1" w:styleId="WW-Rigadintestazione">
    <w:name w:val="WW-Riga d'intestazione"/>
    <w:rsid w:val="00CE268B"/>
    <w:pPr>
      <w:tabs>
        <w:tab w:val="center" w:pos="4819"/>
        <w:tab w:val="right" w:pos="9638"/>
      </w:tabs>
      <w:suppressAutoHyphens/>
    </w:pPr>
    <w:rPr>
      <w:rFonts w:eastAsia="ヒラギノ角ゴ Pro W3" w:cs="MS Serif"/>
      <w:color w:val="000000"/>
      <w:sz w:val="24"/>
      <w:lang w:eastAsia="ar-SA"/>
    </w:rPr>
  </w:style>
  <w:style w:type="paragraph" w:styleId="Corpodeltesto2">
    <w:name w:val="Body Text 2"/>
    <w:basedOn w:val="Normale"/>
    <w:link w:val="Corpodeltesto2Carattere"/>
    <w:rsid w:val="00C2173B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C2173B"/>
    <w:rPr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rsid w:val="00D524F6"/>
    <w:rPr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D524F6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rsid w:val="00D524F6"/>
    <w:rPr>
      <w:sz w:val="16"/>
      <w:szCs w:val="16"/>
      <w:lang w:eastAsia="ar-SA"/>
    </w:rPr>
  </w:style>
  <w:style w:type="character" w:styleId="Menzionenonrisolta">
    <w:name w:val="Unresolved Mention"/>
    <w:uiPriority w:val="99"/>
    <w:semiHidden/>
    <w:unhideWhenUsed/>
    <w:rsid w:val="00B05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cub.romaeprovincia@legalmail.it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315B-EB4B-489E-A7D2-975B64E855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GUERRA E' SEMPRE CONTRO I LAVORATORI</vt:lpstr>
    </vt:vector>
  </TitlesOfParts>
  <Company/>
  <LinksUpToDate>false</LinksUpToDate>
  <CharactersWithSpaces>4168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mailto:cub.romaeprovincia@legalmail.it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GUERRA E' SEMPRE CONTRO I LAVORATORI</dc:title>
  <dc:subject/>
  <dc:creator>Pietro Falanga</dc:creator>
  <cp:keywords/>
  <cp:lastModifiedBy>Antonio Amoroso</cp:lastModifiedBy>
  <cp:revision>3</cp:revision>
  <cp:lastPrinted>2025-11-18T09:07:00Z</cp:lastPrinted>
  <dcterms:created xsi:type="dcterms:W3CDTF">2026-01-15T19:43:00Z</dcterms:created>
  <dcterms:modified xsi:type="dcterms:W3CDTF">2026-01-15T19:44:00Z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331068667</vt:i4>
  </property>
  <property fmtid="{D5CDD505-2E9C-101B-9397-08002B2CF9AE}" pid="3" name="_AuthorEmail">
    <vt:lpwstr>amoroso.antonio@alitalia.it</vt:lpwstr>
  </property>
  <property fmtid="{D5CDD505-2E9C-101B-9397-08002B2CF9AE}" pid="4" name="_AuthorEmailDisplayName">
    <vt:lpwstr>Amoroso Antonio</vt:lpwstr>
  </property>
  <property fmtid="{D5CDD505-2E9C-101B-9397-08002B2CF9AE}" pid="5" name="_EmailSubject">
    <vt:lpwstr>Errata Corrige: Comunicati Danielino</vt:lpwstr>
  </property>
  <property fmtid="{D5CDD505-2E9C-101B-9397-08002B2CF9AE}" pid="6" name="_PreviousAdHocReviewCycleID">
    <vt:i4>1398102179</vt:i4>
  </property>
  <property fmtid="{D5CDD505-2E9C-101B-9397-08002B2CF9AE}" pid="7" name="_ReviewingToolsShownOnce">
    <vt:lpwstr/>
  </property>
</Properties>
</file>